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923"/>
        </w:tabs>
        <w:ind w:right="-7"/>
        <w:rPr>
          <w:rFonts w:hint="default" w:cs="Arial"/>
          <w:bCs/>
          <w:i/>
          <w:color w:val="000000" w:themeColor="text1"/>
          <w:sz w:val="32"/>
          <w:highlight w:val="none"/>
          <w:lang w:val="en-US" w:eastAsia="ja-JP"/>
          <w14:textFill>
            <w14:solidFill>
              <w14:schemeClr w14:val="tx1"/>
            </w14:solidFill>
          </w14:textFill>
        </w:rPr>
      </w:pPr>
      <w:bookmarkStart w:id="0" w:name="_Hlk19781073"/>
      <w:r>
        <w:rPr>
          <w:rFonts w:cs="Arial"/>
          <w:bCs/>
          <w:color w:val="000000" w:themeColor="text1"/>
          <w:sz w:val="24"/>
          <w:highlight w:val="none"/>
          <w14:textFill>
            <w14:solidFill>
              <w14:schemeClr w14:val="tx1"/>
            </w14:solidFill>
          </w14:textFill>
        </w:rPr>
        <w:t>3GPP T</w:t>
      </w:r>
      <w:bookmarkStart w:id="1" w:name="_Ref452454252"/>
      <w:bookmarkEnd w:id="1"/>
      <w:r>
        <w:rPr>
          <w:rFonts w:cs="Arial"/>
          <w:bCs/>
          <w:color w:val="000000" w:themeColor="text1"/>
          <w:sz w:val="24"/>
          <w:highlight w:val="none"/>
          <w14:textFill>
            <w14:solidFill>
              <w14:schemeClr w14:val="tx1"/>
            </w14:solidFill>
          </w14:textFill>
        </w:rPr>
        <w:t>SG-</w:t>
      </w:r>
      <w:r>
        <w:rPr>
          <w:rFonts w:cs="Arial"/>
          <w:bCs/>
          <w:color w:val="000000" w:themeColor="text1"/>
          <w:sz w:val="24"/>
          <w:szCs w:val="24"/>
          <w:highlight w:val="none"/>
          <w14:textFill>
            <w14:solidFill>
              <w14:schemeClr w14:val="tx1"/>
            </w14:solidFill>
          </w14:textFill>
        </w:rPr>
        <w:t xml:space="preserve">RAN </w:t>
      </w:r>
      <w:r>
        <w:rPr>
          <w:rFonts w:cs="Arial"/>
          <w:color w:val="000000" w:themeColor="text1"/>
          <w:sz w:val="24"/>
          <w:szCs w:val="24"/>
          <w:highlight w:val="none"/>
          <w14:textFill>
            <w14:solidFill>
              <w14:schemeClr w14:val="tx1"/>
            </w14:solidFill>
          </w14:textFill>
        </w:rPr>
        <w:t>WG3 Meeting #</w:t>
      </w:r>
      <w:r>
        <w:rPr>
          <w:rFonts w:eastAsia="宋体"/>
          <w:color w:val="000000" w:themeColor="text1"/>
          <w:sz w:val="24"/>
          <w:szCs w:val="22"/>
          <w:highlight w:val="none"/>
          <w:lang w:eastAsia="zh-CN"/>
          <w14:textFill>
            <w14:solidFill>
              <w14:schemeClr w14:val="tx1"/>
            </w14:solidFill>
          </w14:textFill>
        </w:rPr>
        <w:t>1</w:t>
      </w:r>
      <w:r>
        <w:rPr>
          <w:rFonts w:hint="eastAsia" w:eastAsia="宋体"/>
          <w:color w:val="000000" w:themeColor="text1"/>
          <w:sz w:val="24"/>
          <w:szCs w:val="22"/>
          <w:highlight w:val="none"/>
          <w:lang w:eastAsia="zh-CN"/>
          <w14:textFill>
            <w14:solidFill>
              <w14:schemeClr w14:val="tx1"/>
            </w14:solidFill>
          </w14:textFill>
        </w:rPr>
        <w:t>2</w:t>
      </w:r>
      <w:r>
        <w:rPr>
          <w:rFonts w:hint="eastAsia" w:eastAsia="宋体"/>
          <w:color w:val="000000" w:themeColor="text1"/>
          <w:sz w:val="24"/>
          <w:szCs w:val="22"/>
          <w:highlight w:val="none"/>
          <w:lang w:val="en-US" w:eastAsia="zh-CN"/>
          <w14:textFill>
            <w14:solidFill>
              <w14:schemeClr w14:val="tx1"/>
            </w14:solidFill>
          </w14:textFill>
        </w:rPr>
        <w:t>7-bis</w:t>
      </w:r>
      <w:r>
        <w:rPr>
          <w:rFonts w:cs="Arial"/>
          <w:bCs/>
          <w:color w:val="000000" w:themeColor="text1"/>
          <w:sz w:val="24"/>
          <w:highlight w:val="none"/>
          <w14:textFill>
            <w14:solidFill>
              <w14:schemeClr w14:val="tx1"/>
            </w14:solidFill>
          </w14:textFill>
        </w:rPr>
        <w:tab/>
      </w:r>
      <w:bookmarkStart w:id="2" w:name="OLE_LINK23"/>
      <w:r>
        <w:rPr>
          <w:rFonts w:cs="Arial"/>
          <w:bCs/>
          <w:color w:val="000000" w:themeColor="text1"/>
          <w:sz w:val="24"/>
          <w:highlight w:val="none"/>
          <w:lang w:eastAsia="ja-JP"/>
          <w14:textFill>
            <w14:solidFill>
              <w14:schemeClr w14:val="tx1"/>
            </w14:solidFill>
          </w14:textFill>
        </w:rPr>
        <w:t>R3-2</w:t>
      </w:r>
      <w:bookmarkEnd w:id="2"/>
      <w:r>
        <w:rPr>
          <w:rFonts w:hint="eastAsia" w:eastAsia="宋体" w:cs="Arial"/>
          <w:bCs/>
          <w:color w:val="000000" w:themeColor="text1"/>
          <w:sz w:val="24"/>
          <w:highlight w:val="none"/>
          <w:lang w:val="en-US" w:eastAsia="zh-CN"/>
          <w14:textFill>
            <w14:solidFill>
              <w14:schemeClr w14:val="tx1"/>
            </w14:solidFill>
          </w14:textFill>
        </w:rPr>
        <w:t>52211</w:t>
      </w:r>
    </w:p>
    <w:p>
      <w:pPr>
        <w:tabs>
          <w:tab w:val="left" w:pos="1701"/>
          <w:tab w:val="right" w:pos="9923"/>
        </w:tabs>
        <w:spacing w:before="120"/>
        <w:rPr>
          <w:rFonts w:ascii="Arial" w:hAnsi="Arial" w:cs="Arial"/>
          <w:b/>
          <w:bCs/>
          <w:color w:val="000000" w:themeColor="text1"/>
          <w:sz w:val="24"/>
          <w:highlight w:val="none"/>
          <w14:textFill>
            <w14:solidFill>
              <w14:schemeClr w14:val="tx1"/>
            </w14:solidFill>
          </w14:textFill>
        </w:rPr>
      </w:pPr>
      <w:bookmarkStart w:id="3" w:name="_Hlk19781143"/>
      <w:r>
        <w:rPr>
          <w:rFonts w:hint="eastAsia" w:ascii="Arial" w:hAnsi="Arial" w:eastAsia="宋体" w:cs="Arial"/>
          <w:b/>
          <w:bCs/>
          <w:color w:val="000000" w:themeColor="text1"/>
          <w:sz w:val="24"/>
          <w:highlight w:val="none"/>
          <w:lang w:val="en-US" w:eastAsia="zh-CN"/>
          <w14:textFill>
            <w14:solidFill>
              <w14:schemeClr w14:val="tx1"/>
            </w14:solidFill>
          </w14:textFill>
        </w:rPr>
        <w:t>Wuhan</w:t>
      </w:r>
      <w:r>
        <w:rPr>
          <w:rFonts w:ascii="Arial" w:hAnsi="Arial" w:cs="Arial"/>
          <w:b/>
          <w:bCs/>
          <w:color w:val="000000" w:themeColor="text1"/>
          <w:sz w:val="24"/>
          <w:highlight w:val="none"/>
          <w14:textFill>
            <w14:solidFill>
              <w14:schemeClr w14:val="tx1"/>
            </w14:solidFill>
          </w14:textFill>
        </w:rPr>
        <w:t xml:space="preserve">, </w:t>
      </w:r>
      <w:r>
        <w:rPr>
          <w:rFonts w:hint="eastAsia" w:ascii="Arial" w:hAnsi="Arial" w:eastAsia="宋体" w:cs="Arial"/>
          <w:b/>
          <w:bCs/>
          <w:color w:val="000000" w:themeColor="text1"/>
          <w:sz w:val="24"/>
          <w:highlight w:val="none"/>
          <w:lang w:val="en-US" w:eastAsia="zh-CN"/>
          <w14:textFill>
            <w14:solidFill>
              <w14:schemeClr w14:val="tx1"/>
            </w14:solidFill>
          </w14:textFill>
        </w:rPr>
        <w:t>China</w:t>
      </w:r>
      <w:r>
        <w:rPr>
          <w:rFonts w:ascii="Arial" w:hAnsi="Arial" w:cs="Arial"/>
          <w:b/>
          <w:bCs/>
          <w:color w:val="000000" w:themeColor="text1"/>
          <w:sz w:val="24"/>
          <w:highlight w:val="none"/>
          <w14:textFill>
            <w14:solidFill>
              <w14:schemeClr w14:val="tx1"/>
            </w14:solidFill>
          </w14:textFill>
        </w:rPr>
        <w:t xml:space="preserve">, </w:t>
      </w:r>
      <w:r>
        <w:rPr>
          <w:rFonts w:hint="eastAsia" w:ascii="Arial" w:hAnsi="Arial" w:eastAsia="宋体" w:cs="Arial"/>
          <w:b/>
          <w:bCs/>
          <w:color w:val="000000" w:themeColor="text1"/>
          <w:sz w:val="24"/>
          <w:highlight w:val="none"/>
          <w:lang w:val="en-US" w:eastAsia="zh-CN"/>
          <w14:textFill>
            <w14:solidFill>
              <w14:schemeClr w14:val="tx1"/>
            </w14:solidFill>
          </w14:textFill>
        </w:rPr>
        <w:t>April</w:t>
      </w:r>
      <w:r>
        <w:rPr>
          <w:rFonts w:ascii="Arial" w:hAnsi="Arial" w:cs="Arial"/>
          <w:b/>
          <w:bCs/>
          <w:color w:val="000000" w:themeColor="text1"/>
          <w:sz w:val="24"/>
          <w:highlight w:val="none"/>
          <w14:textFill>
            <w14:solidFill>
              <w14:schemeClr w14:val="tx1"/>
            </w14:solidFill>
          </w14:textFill>
        </w:rPr>
        <w:t xml:space="preserve"> 7</w:t>
      </w:r>
      <w:r>
        <w:rPr>
          <w:rFonts w:ascii="Arial" w:hAnsi="Arial" w:cs="Arial"/>
          <w:b/>
          <w:bCs/>
          <w:color w:val="000000" w:themeColor="text1"/>
          <w:sz w:val="24"/>
          <w:highlight w:val="none"/>
          <w:vertAlign w:val="superscript"/>
          <w14:textFill>
            <w14:solidFill>
              <w14:schemeClr w14:val="tx1"/>
            </w14:solidFill>
          </w14:textFill>
        </w:rPr>
        <w:t>th</w:t>
      </w:r>
      <w:r>
        <w:rPr>
          <w:rFonts w:ascii="Arial" w:hAnsi="Arial" w:cs="Arial"/>
          <w:b/>
          <w:bCs/>
          <w:color w:val="000000" w:themeColor="text1"/>
          <w:sz w:val="24"/>
          <w:highlight w:val="none"/>
          <w14:textFill>
            <w14:solidFill>
              <w14:schemeClr w14:val="tx1"/>
            </w14:solidFill>
          </w14:textFill>
        </w:rPr>
        <w:t>-</w:t>
      </w:r>
      <w:r>
        <w:rPr>
          <w:rFonts w:hint="eastAsia" w:ascii="Arial" w:hAnsi="Arial" w:eastAsia="宋体" w:cs="Arial"/>
          <w:b/>
          <w:bCs/>
          <w:color w:val="000000" w:themeColor="text1"/>
          <w:sz w:val="24"/>
          <w:highlight w:val="none"/>
          <w:lang w:val="en-US" w:eastAsia="zh-CN"/>
          <w14:textFill>
            <w14:solidFill>
              <w14:schemeClr w14:val="tx1"/>
            </w14:solidFill>
          </w14:textFill>
        </w:rPr>
        <w:t>1</w:t>
      </w:r>
      <w:r>
        <w:rPr>
          <w:rFonts w:ascii="Arial" w:hAnsi="Arial" w:cs="Arial"/>
          <w:b/>
          <w:bCs/>
          <w:color w:val="000000" w:themeColor="text1"/>
          <w:sz w:val="24"/>
          <w:highlight w:val="none"/>
          <w14:textFill>
            <w14:solidFill>
              <w14:schemeClr w14:val="tx1"/>
            </w14:solidFill>
          </w14:textFill>
        </w:rPr>
        <w:t>1</w:t>
      </w:r>
      <w:r>
        <w:rPr>
          <w:rFonts w:ascii="Arial" w:hAnsi="Arial" w:cs="Arial"/>
          <w:b/>
          <w:bCs/>
          <w:color w:val="000000" w:themeColor="text1"/>
          <w:sz w:val="24"/>
          <w:highlight w:val="none"/>
          <w:vertAlign w:val="superscript"/>
          <w14:textFill>
            <w14:solidFill>
              <w14:schemeClr w14:val="tx1"/>
            </w14:solidFill>
          </w14:textFill>
        </w:rPr>
        <w:t>th</w:t>
      </w:r>
      <w:r>
        <w:rPr>
          <w:rFonts w:ascii="Arial" w:hAnsi="Arial" w:cs="Arial"/>
          <w:b/>
          <w:bCs/>
          <w:color w:val="000000" w:themeColor="text1"/>
          <w:sz w:val="24"/>
          <w:highlight w:val="none"/>
          <w14:textFill>
            <w14:solidFill>
              <w14:schemeClr w14:val="tx1"/>
            </w14:solidFill>
          </w14:textFill>
        </w:rPr>
        <w:t>, 2025</w:t>
      </w:r>
    </w:p>
    <w:bookmarkEnd w:id="0"/>
    <w:bookmarkEnd w:id="3"/>
    <w:p>
      <w:pPr>
        <w:pStyle w:val="35"/>
        <w:tabs>
          <w:tab w:val="center" w:pos="4536"/>
          <w:tab w:val="right" w:pos="9072"/>
        </w:tabs>
        <w:rPr>
          <w:rFonts w:cs="Arial"/>
          <w:bCs/>
          <w:color w:val="000000" w:themeColor="text1"/>
          <w:sz w:val="24"/>
          <w:highlight w:val="none"/>
          <w:lang w:eastAsia="ja-JP"/>
          <w14:textFill>
            <w14:solidFill>
              <w14:schemeClr w14:val="tx1"/>
            </w14:solidFill>
          </w14:textFill>
        </w:rPr>
      </w:pPr>
    </w:p>
    <w:p>
      <w:pPr>
        <w:pStyle w:val="89"/>
        <w:rPr>
          <w:rFonts w:eastAsia="宋体"/>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Agenda Item:</w:t>
      </w:r>
      <w:r>
        <w:rPr>
          <w:color w:val="000000" w:themeColor="text1"/>
          <w:highlight w:val="none"/>
          <w14:textFill>
            <w14:solidFill>
              <w14:schemeClr w14:val="tx1"/>
            </w14:solidFill>
          </w14:textFill>
        </w:rPr>
        <w:tab/>
      </w:r>
      <w:r>
        <w:rPr>
          <w:rFonts w:hint="eastAsia" w:eastAsia="宋体"/>
          <w:color w:val="000000" w:themeColor="text1"/>
          <w:highlight w:val="none"/>
          <w:lang w:eastAsia="zh-CN"/>
          <w14:textFill>
            <w14:solidFill>
              <w14:schemeClr w14:val="tx1"/>
            </w14:solidFill>
          </w14:textFill>
        </w:rPr>
        <w:t>14</w:t>
      </w:r>
      <w:r>
        <w:rPr>
          <w:color w:val="000000" w:themeColor="text1"/>
          <w:highlight w:val="none"/>
          <w14:textFill>
            <w14:solidFill>
              <w14:schemeClr w14:val="tx1"/>
            </w14:solidFill>
          </w14:textFill>
        </w:rPr>
        <w:t>.</w:t>
      </w:r>
      <w:r>
        <w:rPr>
          <w:rFonts w:hint="eastAsia" w:eastAsia="宋体"/>
          <w:color w:val="000000" w:themeColor="text1"/>
          <w:highlight w:val="none"/>
          <w:lang w:eastAsia="zh-CN"/>
          <w14:textFill>
            <w14:solidFill>
              <w14:schemeClr w14:val="tx1"/>
            </w14:solidFill>
          </w14:textFill>
        </w:rPr>
        <w:t>3</w:t>
      </w:r>
    </w:p>
    <w:p>
      <w:pPr>
        <w:pStyle w:val="89"/>
        <w:rPr>
          <w:rFonts w:eastAsia="宋体"/>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Source:</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C</w:t>
      </w:r>
      <w:r>
        <w:rPr>
          <w:rFonts w:hint="eastAsia" w:eastAsia="宋体"/>
          <w:color w:val="000000" w:themeColor="text1"/>
          <w:highlight w:val="none"/>
          <w:lang w:eastAsia="zh-CN"/>
          <w14:textFill>
            <w14:solidFill>
              <w14:schemeClr w14:val="tx1"/>
            </w14:solidFill>
          </w14:textFill>
        </w:rPr>
        <w:t>SCN</w:t>
      </w:r>
    </w:p>
    <w:p>
      <w:pPr>
        <w:pStyle w:val="89"/>
        <w:ind w:left="1985" w:hanging="1985"/>
        <w:rPr>
          <w:color w:val="000000" w:themeColor="text1"/>
          <w:highlight w:val="none"/>
          <w:lang w:eastAsia="ja-JP"/>
          <w14:textFill>
            <w14:solidFill>
              <w14:schemeClr w14:val="tx1"/>
            </w14:solidFill>
          </w14:textFill>
        </w:rPr>
      </w:pPr>
      <w:r>
        <w:rPr>
          <w:color w:val="000000" w:themeColor="text1"/>
          <w:highlight w:val="none"/>
          <w14:textFill>
            <w14:solidFill>
              <w14:schemeClr w14:val="tx1"/>
            </w14:solidFill>
          </w14:textFill>
        </w:rPr>
        <w:t>Title:</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Discussion on support of regenerative payload for NR NTN</w:t>
      </w:r>
    </w:p>
    <w:p>
      <w:pPr>
        <w:pStyle w:val="89"/>
        <w:rPr>
          <w:color w:val="000000" w:themeColor="text1"/>
          <w:highlight w:val="none"/>
          <w:lang w:eastAsia="ja-JP"/>
          <w14:textFill>
            <w14:solidFill>
              <w14:schemeClr w14:val="tx1"/>
            </w14:solidFill>
          </w14:textFill>
        </w:rPr>
      </w:pPr>
      <w:r>
        <w:rPr>
          <w:color w:val="000000" w:themeColor="text1"/>
          <w:highlight w:val="none"/>
          <w14:textFill>
            <w14:solidFill>
              <w14:schemeClr w14:val="tx1"/>
            </w14:solidFill>
          </w14:textFill>
        </w:rPr>
        <w:t>Document for:</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Discussion</w:t>
      </w:r>
    </w:p>
    <w:p>
      <w:pPr>
        <w:pStyle w:val="3"/>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Introduction</w:t>
      </w:r>
    </w:p>
    <w:p>
      <w:pPr>
        <w:jc w:val="both"/>
        <w:rPr>
          <w:rFonts w:hint="eastAsia" w:eastAsia="宋体"/>
          <w:highlight w:val="none"/>
          <w:lang w:val="en-US" w:eastAsia="zh-CN"/>
        </w:rPr>
      </w:pPr>
      <w:r>
        <w:rPr>
          <w:rFonts w:hint="eastAsia" w:eastAsia="宋体"/>
          <w:color w:val="auto"/>
          <w:highlight w:val="none"/>
          <w:lang w:val="en-US" w:eastAsia="zh-CN"/>
        </w:rPr>
        <w:t xml:space="preserve">In the RAN3 #127 meeting, there are some discussions on OAM-based TAI list configuration and have concensus on the conclusion. From RAN3 perspective, there still some remaining open issues </w:t>
      </w:r>
      <w:r>
        <w:rPr>
          <w:rFonts w:hint="eastAsia" w:eastAsia="宋体"/>
          <w:highlight w:val="none"/>
          <w:lang w:val="en-US" w:eastAsia="zh-CN"/>
        </w:rPr>
        <w:t xml:space="preserve">shown as blow </w:t>
      </w:r>
      <w:r>
        <w:rPr>
          <w:rFonts w:hint="eastAsia" w:eastAsia="宋体"/>
          <w:color w:val="auto"/>
          <w:highlight w:val="none"/>
          <w:lang w:val="en-US" w:eastAsia="zh-CN"/>
        </w:rPr>
        <w:t>need to be further discussed [1].</w:t>
      </w:r>
    </w:p>
    <w:p>
      <w:pPr>
        <w:jc w:val="both"/>
        <w:rPr>
          <w:rFonts w:hint="default" w:eastAsia="宋体"/>
          <w:highlight w:val="none"/>
          <w:lang w:val="en-US" w:eastAsia="zh-CN"/>
        </w:rPr>
      </w:pPr>
      <w:r>
        <w:rPr>
          <w:rFonts w:hint="eastAsia" w:eastAsia="宋体"/>
          <w:highlight w:val="none"/>
          <w:lang w:val="en-US" w:eastAsia="zh-CN"/>
        </w:rPr>
        <w:t xml:space="preserve">Issue 1: Location-based CHO </w:t>
      </w:r>
    </w:p>
    <w:p>
      <w:pPr>
        <w:jc w:val="both"/>
        <w:rPr>
          <w:rFonts w:hint="eastAsia" w:eastAsia="宋体"/>
          <w:highlight w:val="none"/>
          <w:lang w:val="en-US" w:eastAsia="zh-CN"/>
        </w:rPr>
      </w:pPr>
      <w:r>
        <w:rPr>
          <w:rFonts w:hint="eastAsia" w:eastAsia="宋体"/>
          <w:highlight w:val="none"/>
          <w:lang w:val="en-US" w:eastAsia="zh-CN"/>
        </w:rPr>
        <w:t xml:space="preserve">Issue 2: Support of RRC_INACTIVE </w:t>
      </w:r>
    </w:p>
    <w:p>
      <w:pPr>
        <w:jc w:val="both"/>
        <w:rPr>
          <w:rFonts w:hint="eastAsia" w:eastAsia="宋体"/>
          <w:color w:val="auto"/>
          <w:highlight w:val="none"/>
          <w:lang w:val="en-US" w:eastAsia="zh-CN"/>
        </w:rPr>
      </w:pPr>
      <w:r>
        <w:rPr>
          <w:rFonts w:hint="eastAsia" w:eastAsia="宋体"/>
          <w:color w:val="auto"/>
          <w:highlight w:val="none"/>
          <w:lang w:val="en-US" w:eastAsia="zh-CN"/>
        </w:rPr>
        <w:t xml:space="preserve">In this contribution, we will further discuss the </w:t>
      </w:r>
      <w:r>
        <w:rPr>
          <w:rFonts w:hint="eastAsia" w:eastAsia="宋体"/>
          <w:highlight w:val="none"/>
          <w:lang w:val="en-US" w:eastAsia="zh-CN"/>
        </w:rPr>
        <w:t>corresponding</w:t>
      </w:r>
      <w:r>
        <w:rPr>
          <w:rFonts w:hint="eastAsia" w:eastAsia="宋体"/>
          <w:color w:val="auto"/>
          <w:highlight w:val="none"/>
          <w:lang w:val="en-US" w:eastAsia="zh-CN"/>
        </w:rPr>
        <w:t xml:space="preserve"> issues on the support of regenerative payload.</w:t>
      </w:r>
    </w:p>
    <w:p>
      <w:pPr>
        <w:pStyle w:val="3"/>
        <w:rPr>
          <w:color w:val="000000" w:themeColor="text1"/>
          <w:highlight w:val="none"/>
          <w:lang w:eastAsia="zh-CN"/>
          <w14:textFill>
            <w14:solidFill>
              <w14:schemeClr w14:val="tx1"/>
            </w14:solidFill>
          </w14:textFill>
        </w:rPr>
      </w:pPr>
      <w:bookmarkStart w:id="4" w:name="OLE_LINK11"/>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Discussion</w:t>
      </w:r>
    </w:p>
    <w:bookmarkEnd w:id="4"/>
    <w:p>
      <w:pPr>
        <w:jc w:val="both"/>
        <w:rPr>
          <w:rFonts w:hint="default"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Issue 1: Location-based CHO</w:t>
      </w:r>
    </w:p>
    <w:p>
      <w:pPr>
        <w:numPr>
          <w:ilvl w:val="0"/>
          <w:numId w:val="0"/>
        </w:numPr>
        <w:jc w:val="both"/>
        <w:rPr>
          <w:rFonts w:hint="default"/>
          <w:lang w:val="en-US" w:eastAsia="zh-CN"/>
        </w:rPr>
      </w:pPr>
      <w:r>
        <w:rPr>
          <w:rFonts w:hint="eastAsia"/>
          <w:szCs w:val="24"/>
          <w:lang w:val="en-US" w:eastAsia="zh-CN"/>
        </w:rPr>
        <w:t xml:space="preserve">In the previous RAN3 meeting, some companies proposed to enhance location-based CHO. From the perspective of RAN3, it is necessary to further consider how to better support the mobility of location-based CHO between gNBs in regenerative </w:t>
      </w:r>
      <w:r>
        <w:rPr>
          <w:rFonts w:hint="eastAsia"/>
          <w:lang w:val="en-US" w:eastAsia="zh-CN"/>
        </w:rPr>
        <w:t>payload</w:t>
      </w:r>
      <w:r>
        <w:rPr>
          <w:rFonts w:hint="eastAsia"/>
          <w:szCs w:val="24"/>
          <w:lang w:val="en-US" w:eastAsia="zh-CN"/>
        </w:rPr>
        <w:t xml:space="preserve">. </w:t>
      </w:r>
      <w:r>
        <w:rPr>
          <w:rFonts w:hint="default"/>
          <w:lang w:val="en-US" w:eastAsia="zh-CN"/>
        </w:rPr>
        <w:t xml:space="preserve">Under the assumption that there is an inter-satellite link (ISL) between two </w:t>
      </w:r>
      <w:r>
        <w:rPr>
          <w:rFonts w:hint="eastAsia"/>
          <w:lang w:val="en-US" w:eastAsia="zh-CN"/>
        </w:rPr>
        <w:t>satellites</w:t>
      </w:r>
      <w:r>
        <w:rPr>
          <w:rFonts w:hint="default"/>
          <w:lang w:val="en-US" w:eastAsia="zh-CN"/>
        </w:rPr>
        <w:t xml:space="preserve">, </w:t>
      </w:r>
      <w:r>
        <w:rPr>
          <w:rFonts w:hint="eastAsia"/>
          <w:lang w:val="en-US" w:eastAsia="zh-CN"/>
        </w:rPr>
        <w:t xml:space="preserve">we prefer </w:t>
      </w:r>
      <w:r>
        <w:rPr>
          <w:rFonts w:hint="default"/>
          <w:lang w:val="en-US" w:eastAsia="zh-CN"/>
        </w:rPr>
        <w:t xml:space="preserve">to enhance location-based CHO by transferring UE coarse location information </w:t>
      </w:r>
      <w:r>
        <w:rPr>
          <w:rFonts w:hint="eastAsia"/>
          <w:lang w:val="en-US" w:eastAsia="zh-CN"/>
        </w:rPr>
        <w:t>via</w:t>
      </w:r>
      <w:r>
        <w:rPr>
          <w:rFonts w:hint="default"/>
          <w:lang w:val="en-US" w:eastAsia="zh-CN"/>
        </w:rPr>
        <w:t xml:space="preserve"> the Xn interface between the </w:t>
      </w:r>
      <w:r>
        <w:rPr>
          <w:rFonts w:hint="eastAsia"/>
          <w:lang w:val="en-US" w:eastAsia="zh-CN"/>
        </w:rPr>
        <w:t>source and candidate cells</w:t>
      </w:r>
      <w:r>
        <w:rPr>
          <w:rFonts w:hint="default"/>
          <w:lang w:val="en-US" w:eastAsia="zh-CN"/>
        </w:rPr>
        <w:t xml:space="preserve">. </w:t>
      </w:r>
    </w:p>
    <w:p>
      <w:pPr>
        <w:numPr>
          <w:ilvl w:val="0"/>
          <w:numId w:val="0"/>
        </w:numPr>
        <w:jc w:val="both"/>
        <w:rPr>
          <w:rFonts w:hint="eastAsia"/>
          <w:lang w:val="en-US" w:eastAsia="zh-CN"/>
        </w:rPr>
      </w:pPr>
      <w:r>
        <w:rPr>
          <w:rFonts w:hint="default"/>
          <w:lang w:val="en-US" w:eastAsia="zh-CN"/>
        </w:rPr>
        <w:t>In IoT NTN, it has been demonstrated that after the eNB acquires the</w:t>
      </w:r>
      <w:r>
        <w:rPr>
          <w:rFonts w:hint="eastAsia"/>
          <w:lang w:val="en-US" w:eastAsia="zh-CN"/>
        </w:rPr>
        <w:t xml:space="preserve"> </w:t>
      </w:r>
      <w:r>
        <w:rPr>
          <w:rFonts w:hint="default"/>
          <w:lang w:val="en-US" w:eastAsia="zh-CN"/>
        </w:rPr>
        <w:t>coarse location information of the UE, it can more effectively implement critical functionalities such as radio resource management (RRM), beam management and scheduling, as well as congestion control.</w:t>
      </w:r>
      <w:r>
        <w:rPr>
          <w:rFonts w:hint="eastAsia"/>
          <w:lang w:val="en-US" w:eastAsia="zh-CN"/>
        </w:rPr>
        <w:t xml:space="preserve"> These aspects are particularly vital in NTN especially for limited regenerative payload. </w:t>
      </w:r>
    </w:p>
    <w:p>
      <w:pPr>
        <w:numPr>
          <w:ilvl w:val="0"/>
          <w:numId w:val="0"/>
        </w:numPr>
        <w:jc w:val="both"/>
        <w:rPr>
          <w:rFonts w:hint="eastAsia"/>
          <w:lang w:val="en-US" w:eastAsia="zh-CN"/>
        </w:rPr>
      </w:pPr>
      <w:r>
        <w:rPr>
          <w:rFonts w:hint="eastAsia"/>
          <w:lang w:val="en-US" w:eastAsia="zh-CN"/>
        </w:rPr>
        <w:t>From our perspective, this approach is applicable in NR NTN as well.</w:t>
      </w:r>
    </w:p>
    <w:p>
      <w:pPr>
        <w:widowControl w:val="0"/>
        <w:numPr>
          <w:ilvl w:val="0"/>
          <w:numId w:val="0"/>
        </w:numPr>
        <w:jc w:val="both"/>
        <w:rPr>
          <w:rFonts w:hint="eastAsia"/>
          <w:lang w:val="en-US" w:eastAsia="zh-CN"/>
        </w:rPr>
      </w:pPr>
      <w:r>
        <w:rPr>
          <w:rFonts w:hint="eastAsia"/>
          <w:lang w:val="en-US" w:eastAsia="zh-CN"/>
        </w:rPr>
        <w:t>Due to the extensive coverage of satellites (including LEO, MEO, and GEO), a single satellite beam may span several tens of kilometers. However, the distribution of UEs within a beam may be highly uneven or sparsely distributed at different locations. When a UE initiates HO, if the gNB can obtain the coarse location of the UE or, if possible, the precise UE location, the satellite can concentrate its transmission power and schedule at least a narrow satellite beam of several kilometers diameter to serve the UE handover to the target cell, thereby ensuring the service continuity and a better user experience to the considerable extent.</w:t>
      </w:r>
    </w:p>
    <w:p>
      <w:pPr>
        <w:widowControl w:val="0"/>
        <w:numPr>
          <w:ilvl w:val="0"/>
          <w:numId w:val="0"/>
        </w:numPr>
        <w:jc w:val="both"/>
        <w:rPr>
          <w:rFonts w:hint="default"/>
          <w:lang w:val="en-US" w:eastAsia="zh-CN"/>
        </w:rPr>
      </w:pPr>
      <w:r>
        <w:rPr>
          <w:rFonts w:hint="eastAsia"/>
          <w:strike w:val="0"/>
          <w:lang w:val="en-US" w:eastAsia="zh-CN"/>
        </w:rPr>
        <w:t>Additionally, t</w:t>
      </w:r>
      <w:r>
        <w:rPr>
          <w:rFonts w:hint="default"/>
          <w:lang w:val="en-US" w:eastAsia="zh-CN"/>
        </w:rPr>
        <w:t xml:space="preserve">he current spec supports the mechanism of reporting UE coarse location </w:t>
      </w:r>
      <w:r>
        <w:rPr>
          <w:rFonts w:hint="eastAsia"/>
          <w:lang w:val="en-US" w:eastAsia="zh-CN"/>
        </w:rPr>
        <w:t>via</w:t>
      </w:r>
      <w:r>
        <w:rPr>
          <w:rFonts w:hint="default"/>
          <w:lang w:val="en-US" w:eastAsia="zh-CN"/>
        </w:rPr>
        <w:t xml:space="preserve"> the air interface, allowing the source cell to acquire this information. However, there may be concerns </w:t>
      </w:r>
      <w:r>
        <w:rPr>
          <w:rFonts w:hint="eastAsia"/>
          <w:lang w:val="en-US" w:eastAsia="zh-CN"/>
        </w:rPr>
        <w:t>whether the</w:t>
      </w:r>
      <w:r>
        <w:rPr>
          <w:rFonts w:hint="default"/>
          <w:lang w:val="en-US" w:eastAsia="zh-CN"/>
        </w:rPr>
        <w:t xml:space="preserve"> UE coarse location </w:t>
      </w:r>
      <w:r>
        <w:rPr>
          <w:rFonts w:hint="eastAsia"/>
          <w:lang w:val="en-US" w:eastAsia="zh-CN"/>
        </w:rPr>
        <w:t>is inaccurate</w:t>
      </w:r>
      <w:r>
        <w:rPr>
          <w:rFonts w:hint="default"/>
          <w:lang w:val="en-US" w:eastAsia="zh-CN"/>
        </w:rPr>
        <w:t xml:space="preserve"> obtained by the target cell</w:t>
      </w:r>
      <w:r>
        <w:rPr>
          <w:rFonts w:hint="eastAsia"/>
          <w:lang w:val="en-US" w:eastAsia="zh-CN"/>
        </w:rPr>
        <w:t xml:space="preserve"> due to UE movement</w:t>
      </w:r>
      <w:r>
        <w:rPr>
          <w:rFonts w:hint="default"/>
          <w:lang w:val="en-US" w:eastAsia="zh-CN"/>
        </w:rPr>
        <w:t>.</w:t>
      </w:r>
    </w:p>
    <w:p>
      <w:pPr>
        <w:widowControl w:val="0"/>
        <w:numPr>
          <w:ilvl w:val="0"/>
          <w:numId w:val="0"/>
        </w:numPr>
        <w:jc w:val="both"/>
        <w:rPr>
          <w:rFonts w:hint="default"/>
          <w:lang w:val="en-US" w:eastAsia="zh-CN"/>
        </w:rPr>
      </w:pPr>
      <w:r>
        <w:rPr>
          <w:rFonts w:hint="default"/>
          <w:lang w:val="en-US" w:eastAsia="zh-CN"/>
        </w:rPr>
        <w:t xml:space="preserve">Regarding this point, </w:t>
      </w:r>
      <w:r>
        <w:rPr>
          <w:rFonts w:hint="eastAsia"/>
          <w:lang w:val="en-US" w:eastAsia="zh-CN"/>
        </w:rPr>
        <w:t xml:space="preserve">while </w:t>
      </w:r>
      <w:r>
        <w:rPr>
          <w:rFonts w:hint="default"/>
          <w:lang w:val="en-US" w:eastAsia="zh-CN"/>
        </w:rPr>
        <w:t xml:space="preserve">the interaction between the source and the target </w:t>
      </w:r>
      <w:r>
        <w:rPr>
          <w:rFonts w:hint="eastAsia"/>
          <w:lang w:val="en-US" w:eastAsia="zh-CN"/>
        </w:rPr>
        <w:t>cell</w:t>
      </w:r>
      <w:r>
        <w:rPr>
          <w:rFonts w:hint="default"/>
          <w:lang w:val="en-US" w:eastAsia="zh-CN"/>
        </w:rPr>
        <w:t xml:space="preserve"> is the UE</w:t>
      </w:r>
      <w:r>
        <w:rPr>
          <w:rFonts w:hint="eastAsia"/>
          <w:lang w:val="en-US" w:eastAsia="zh-CN"/>
        </w:rPr>
        <w:t xml:space="preserve"> </w:t>
      </w:r>
      <w:r>
        <w:rPr>
          <w:rFonts w:hint="default"/>
          <w:lang w:val="en-US" w:eastAsia="zh-CN"/>
        </w:rPr>
        <w:t>coarse location</w:t>
      </w:r>
      <w:r>
        <w:rPr>
          <w:rFonts w:hint="eastAsia"/>
          <w:lang w:val="en-US" w:eastAsia="zh-CN"/>
        </w:rPr>
        <w:t xml:space="preserve"> </w:t>
      </w:r>
      <w:r>
        <w:rPr>
          <w:rFonts w:hint="default"/>
          <w:lang w:val="en-US" w:eastAsia="zh-CN"/>
        </w:rPr>
        <w:t>the UE is unlikely to move so rapidly as to exceed the coverage of the narrow beam</w:t>
      </w:r>
      <w:r>
        <w:rPr>
          <w:rFonts w:hint="eastAsia"/>
          <w:lang w:val="en-US" w:eastAsia="zh-CN"/>
        </w:rPr>
        <w:t xml:space="preserve">, </w:t>
      </w:r>
      <w:r>
        <w:rPr>
          <w:rFonts w:hint="default"/>
          <w:lang w:val="en-US" w:eastAsia="zh-CN"/>
        </w:rPr>
        <w:t>except in extremely rare cases</w:t>
      </w:r>
      <w:r>
        <w:rPr>
          <w:rFonts w:hint="eastAsia"/>
          <w:lang w:val="en-US" w:eastAsia="zh-CN"/>
        </w:rPr>
        <w:t>. E</w:t>
      </w:r>
      <w:r>
        <w:rPr>
          <w:rFonts w:hint="default"/>
          <w:lang w:val="en-US" w:eastAsia="zh-CN"/>
        </w:rPr>
        <w:t>ven when the satellite switches to the narrow beam for service</w:t>
      </w:r>
      <w:r>
        <w:rPr>
          <w:rFonts w:hint="eastAsia"/>
          <w:lang w:val="en-US" w:eastAsia="zh-CN"/>
        </w:rPr>
        <w:t xml:space="preserve"> provision</w:t>
      </w:r>
      <w:r>
        <w:rPr>
          <w:rFonts w:hint="default"/>
          <w:lang w:val="en-US" w:eastAsia="zh-CN"/>
        </w:rPr>
        <w:t xml:space="preserve">, the narrow beam still has a relatively </w:t>
      </w:r>
      <w:r>
        <w:rPr>
          <w:rFonts w:hint="eastAsia"/>
          <w:lang w:val="en-US" w:eastAsia="zh-CN"/>
        </w:rPr>
        <w:t xml:space="preserve">wide </w:t>
      </w:r>
      <w:r>
        <w:rPr>
          <w:rFonts w:hint="default"/>
          <w:lang w:val="en-US" w:eastAsia="zh-CN"/>
        </w:rPr>
        <w:t>coverage range compared to the movement range of the UE</w:t>
      </w:r>
      <w:r>
        <w:rPr>
          <w:rFonts w:hint="eastAsia"/>
          <w:lang w:val="en-US" w:eastAsia="zh-CN"/>
        </w:rPr>
        <w:t xml:space="preserve"> during CHO</w:t>
      </w:r>
      <w:r>
        <w:rPr>
          <w:rFonts w:hint="default"/>
          <w:lang w:val="en-US" w:eastAsia="zh-CN"/>
        </w:rPr>
        <w:t>.</w:t>
      </w:r>
      <w:r>
        <w:rPr>
          <w:rFonts w:hint="eastAsia"/>
          <w:lang w:val="en-US" w:eastAsia="zh-CN"/>
        </w:rPr>
        <w:t xml:space="preserve"> Therefore, the </w:t>
      </w:r>
      <w:r>
        <w:rPr>
          <w:rFonts w:hint="default"/>
          <w:lang w:val="en-US" w:eastAsia="zh-CN"/>
        </w:rPr>
        <w:t>UE</w:t>
      </w:r>
      <w:r>
        <w:rPr>
          <w:rFonts w:hint="eastAsia"/>
          <w:lang w:val="en-US" w:eastAsia="zh-CN"/>
        </w:rPr>
        <w:t xml:space="preserve"> </w:t>
      </w:r>
      <w:r>
        <w:rPr>
          <w:rFonts w:hint="default"/>
          <w:lang w:val="en-US" w:eastAsia="zh-CN"/>
        </w:rPr>
        <w:t>coarse location</w:t>
      </w:r>
      <w:r>
        <w:rPr>
          <w:rFonts w:hint="eastAsia"/>
          <w:lang w:val="en-US" w:eastAsia="zh-CN"/>
        </w:rPr>
        <w:t xml:space="preserve"> information is capable of fulfilling the beam scheduling requirements of the target cell.</w:t>
      </w:r>
    </w:p>
    <w:p>
      <w:pPr>
        <w:jc w:val="both"/>
        <w:rPr>
          <w:rFonts w:eastAsia="宋体"/>
          <w:b/>
          <w:bCs/>
          <w:highlight w:val="none"/>
          <w:lang w:val="en-US" w:eastAsia="zh-CN"/>
        </w:rPr>
      </w:pPr>
      <w:r>
        <w:rPr>
          <w:rFonts w:hint="eastAsia" w:eastAsia="宋体"/>
          <w:b/>
          <w:bCs/>
          <w:highlight w:val="none"/>
          <w:lang w:val="en-US" w:eastAsia="zh-CN"/>
        </w:rPr>
        <w:t xml:space="preserve">Proposal 1: RAN3 to discuss on the enhancement of transferring UE coarse location information between XnAP. </w:t>
      </w:r>
    </w:p>
    <w:p>
      <w:pPr>
        <w:jc w:val="both"/>
        <w:rPr>
          <w:rFonts w:eastAsia="宋体"/>
          <w:b/>
          <w:bCs/>
          <w:highlight w:val="none"/>
          <w:lang w:val="en-US" w:eastAsia="zh-CN"/>
        </w:rPr>
      </w:pPr>
    </w:p>
    <w:p>
      <w:pPr>
        <w:jc w:val="both"/>
        <w:rPr>
          <w:rFonts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 xml:space="preserve">Issue 2: Support of RRC_INACTIVE </w:t>
      </w:r>
    </w:p>
    <w:p>
      <w:pPr>
        <w:jc w:val="both"/>
        <w:rPr>
          <w:rFonts w:eastAsia="宋体"/>
          <w:b/>
          <w:bCs/>
          <w:highlight w:val="none"/>
          <w:lang w:val="en-US" w:eastAsia="zh-CN"/>
        </w:rPr>
      </w:pPr>
      <w:r>
        <w:rPr>
          <w:rFonts w:hint="eastAsia" w:eastAsia="宋体"/>
          <w:b/>
          <w:bCs/>
          <w:highlight w:val="none"/>
          <w:lang w:val="en-US" w:eastAsia="zh-CN"/>
        </w:rPr>
        <w:t>RNA Configuration</w:t>
      </w:r>
    </w:p>
    <w:p>
      <w:pPr>
        <w:jc w:val="both"/>
        <w:rPr>
          <w:rFonts w:eastAsia="宋体"/>
          <w:highlight w:val="none"/>
          <w:lang w:val="en-US" w:eastAsia="zh-CN"/>
        </w:rPr>
      </w:pPr>
      <w:r>
        <w:rPr>
          <w:rFonts w:hint="eastAsia" w:eastAsia="宋体"/>
          <w:highlight w:val="none"/>
          <w:lang w:val="en-US" w:eastAsia="zh-CN"/>
        </w:rPr>
        <w:t>The gNB can assign an RNA (RAN-based Notification Area) to the RRC_INACTIVE UE via RRC Release signal (i.e. SuspendConfig - RAN-NotificationAreaInfo). The RNA in current spec can be configured in any of the following ways:</w:t>
      </w:r>
    </w:p>
    <w:tbl>
      <w:tblPr>
        <w:tblStyle w:val="45"/>
        <w:tblW w:w="96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ADADA" w:themeFill="accent3" w:themeFillTint="66"/>
        <w:tblLayout w:type="autofit"/>
        <w:tblCellMar>
          <w:top w:w="0" w:type="dxa"/>
          <w:left w:w="108" w:type="dxa"/>
          <w:bottom w:w="0" w:type="dxa"/>
          <w:right w:w="108" w:type="dxa"/>
        </w:tblCellMar>
      </w:tblPr>
      <w:tblGrid>
        <w:gridCol w:w="9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ADADA" w:themeFill="accent3" w:themeFillTint="66"/>
          <w:tblCellMar>
            <w:top w:w="0" w:type="dxa"/>
            <w:left w:w="108" w:type="dxa"/>
            <w:bottom w:w="0" w:type="dxa"/>
            <w:right w:w="108" w:type="dxa"/>
          </w:tblCellMar>
        </w:tblPrEx>
        <w:trPr>
          <w:trHeight w:val="2262" w:hRule="atLeast"/>
        </w:trPr>
        <w:tc>
          <w:tcPr>
            <w:tcW w:w="9660" w:type="dxa"/>
            <w:shd w:val="clear" w:color="auto" w:fill="DADADA" w:themeFill="accent3" w:themeFillTint="66"/>
          </w:tcPr>
          <w:p>
            <w:pPr>
              <w:pStyle w:val="68"/>
              <w:spacing w:after="180"/>
              <w:rPr>
                <w:szCs w:val="16"/>
                <w:highlight w:val="none"/>
              </w:rPr>
            </w:pPr>
            <w:r>
              <w:rPr>
                <w:szCs w:val="16"/>
                <w:highlight w:val="none"/>
              </w:rPr>
              <w:t xml:space="preserve">RAN-NotificationAreaInfo ::=        </w:t>
            </w:r>
            <w:r>
              <w:rPr>
                <w:color w:val="993366"/>
                <w:szCs w:val="16"/>
                <w:highlight w:val="none"/>
              </w:rPr>
              <w:t>CHOICE</w:t>
            </w:r>
            <w:r>
              <w:rPr>
                <w:szCs w:val="16"/>
                <w:highlight w:val="none"/>
              </w:rPr>
              <w:t xml:space="preserve"> {</w:t>
            </w:r>
          </w:p>
          <w:p>
            <w:pPr>
              <w:pStyle w:val="68"/>
              <w:spacing w:after="180"/>
              <w:rPr>
                <w:szCs w:val="16"/>
                <w:highlight w:val="none"/>
              </w:rPr>
            </w:pPr>
            <w:r>
              <w:rPr>
                <w:szCs w:val="16"/>
                <w:highlight w:val="none"/>
              </w:rPr>
              <w:t xml:space="preserve">    cellList                            PLMN-RAN-AreaCellList,</w:t>
            </w:r>
          </w:p>
          <w:p>
            <w:pPr>
              <w:pStyle w:val="68"/>
              <w:spacing w:after="180"/>
              <w:rPr>
                <w:szCs w:val="16"/>
                <w:highlight w:val="none"/>
              </w:rPr>
            </w:pPr>
            <w:r>
              <w:rPr>
                <w:szCs w:val="16"/>
                <w:highlight w:val="none"/>
              </w:rPr>
              <w:t xml:space="preserve">    ran-AreaConfigList                  PLMN-RAN-AreaConfigList,</w:t>
            </w:r>
          </w:p>
          <w:p>
            <w:pPr>
              <w:pStyle w:val="68"/>
              <w:spacing w:after="180"/>
              <w:rPr>
                <w:szCs w:val="16"/>
                <w:highlight w:val="none"/>
              </w:rPr>
            </w:pPr>
            <w:r>
              <w:rPr>
                <w:szCs w:val="16"/>
                <w:highlight w:val="none"/>
              </w:rPr>
              <w:t xml:space="preserve">    ...</w:t>
            </w:r>
          </w:p>
          <w:p>
            <w:pPr>
              <w:pStyle w:val="68"/>
              <w:spacing w:after="180"/>
              <w:rPr>
                <w:szCs w:val="16"/>
                <w:highlight w:val="none"/>
              </w:rPr>
            </w:pPr>
            <w:r>
              <w:rPr>
                <w:szCs w:val="16"/>
                <w:highlight w:val="none"/>
              </w:rPr>
              <w:t>}</w:t>
            </w:r>
          </w:p>
          <w:p>
            <w:pPr>
              <w:pStyle w:val="68"/>
              <w:spacing w:after="180"/>
              <w:rPr>
                <w:szCs w:val="16"/>
                <w:highlight w:val="none"/>
              </w:rPr>
            </w:pPr>
            <w:r>
              <w:rPr>
                <w:szCs w:val="16"/>
                <w:highlight w:val="none"/>
              </w:rPr>
              <w:t xml:space="preserve">PLMN-RAN-AreaCellList ::=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 maxPLMNIdentities))</w:t>
            </w:r>
            <w:r>
              <w:rPr>
                <w:color w:val="993366"/>
                <w:szCs w:val="16"/>
                <w:highlight w:val="none"/>
              </w:rPr>
              <w:t xml:space="preserve"> OF</w:t>
            </w:r>
            <w:r>
              <w:rPr>
                <w:szCs w:val="16"/>
                <w:highlight w:val="none"/>
              </w:rPr>
              <w:t xml:space="preserve"> PLMN-RAN-AreaCell</w:t>
            </w:r>
          </w:p>
          <w:p>
            <w:pPr>
              <w:pStyle w:val="68"/>
              <w:spacing w:after="180"/>
              <w:rPr>
                <w:szCs w:val="16"/>
                <w:highlight w:val="none"/>
              </w:rPr>
            </w:pPr>
            <w:r>
              <w:rPr>
                <w:szCs w:val="16"/>
                <w:highlight w:val="none"/>
              </w:rPr>
              <w:t xml:space="preserve">PLMN-RAN-AreaCell ::=               </w:t>
            </w:r>
            <w:r>
              <w:rPr>
                <w:color w:val="993366"/>
                <w:szCs w:val="16"/>
                <w:highlight w:val="none"/>
              </w:rPr>
              <w:t>SEQUENCE</w:t>
            </w:r>
            <w:r>
              <w:rPr>
                <w:szCs w:val="16"/>
                <w:highlight w:val="none"/>
              </w:rPr>
              <w:t xml:space="preserve"> {</w:t>
            </w:r>
          </w:p>
          <w:p>
            <w:pPr>
              <w:pStyle w:val="68"/>
              <w:spacing w:after="180"/>
              <w:rPr>
                <w:color w:val="808080"/>
                <w:szCs w:val="16"/>
                <w:highlight w:val="none"/>
              </w:rPr>
            </w:pPr>
            <w:r>
              <w:rPr>
                <w:szCs w:val="16"/>
                <w:highlight w:val="none"/>
              </w:rPr>
              <w:t xml:space="preserve">    plmn-Identity                       PLMN-Identity                                                       </w:t>
            </w:r>
            <w:r>
              <w:rPr>
                <w:color w:val="993366"/>
                <w:szCs w:val="16"/>
                <w:highlight w:val="none"/>
              </w:rPr>
              <w:t>OPTIONAL</w:t>
            </w:r>
            <w:r>
              <w:rPr>
                <w:szCs w:val="16"/>
                <w:highlight w:val="none"/>
              </w:rPr>
              <w:t xml:space="preserve">,   </w:t>
            </w:r>
            <w:r>
              <w:rPr>
                <w:color w:val="808080"/>
                <w:szCs w:val="16"/>
                <w:highlight w:val="none"/>
              </w:rPr>
              <w:t>-- Need S</w:t>
            </w:r>
          </w:p>
          <w:p>
            <w:pPr>
              <w:pStyle w:val="68"/>
              <w:spacing w:after="180"/>
              <w:rPr>
                <w:szCs w:val="16"/>
                <w:highlight w:val="none"/>
              </w:rPr>
            </w:pPr>
            <w:r>
              <w:rPr>
                <w:szCs w:val="16"/>
                <w:highlight w:val="none"/>
              </w:rPr>
              <w:t xml:space="preserve">    ran-AreaCells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(1..32))</w:t>
            </w:r>
            <w:r>
              <w:rPr>
                <w:color w:val="993366"/>
                <w:szCs w:val="16"/>
                <w:highlight w:val="none"/>
              </w:rPr>
              <w:t xml:space="preserve"> OF</w:t>
            </w:r>
            <w:r>
              <w:rPr>
                <w:szCs w:val="16"/>
                <w:highlight w:val="none"/>
              </w:rPr>
              <w:t xml:space="preserve">  CellIdentity</w:t>
            </w:r>
          </w:p>
          <w:p>
            <w:pPr>
              <w:pStyle w:val="68"/>
              <w:spacing w:after="180"/>
              <w:rPr>
                <w:szCs w:val="16"/>
                <w:highlight w:val="none"/>
              </w:rPr>
            </w:pPr>
            <w:r>
              <w:rPr>
                <w:szCs w:val="16"/>
                <w:highlight w:val="none"/>
              </w:rPr>
              <w:t>}</w:t>
            </w:r>
          </w:p>
          <w:p>
            <w:pPr>
              <w:pStyle w:val="68"/>
              <w:spacing w:after="180"/>
              <w:rPr>
                <w:szCs w:val="16"/>
                <w:highlight w:val="none"/>
              </w:rPr>
            </w:pPr>
            <w:r>
              <w:rPr>
                <w:szCs w:val="16"/>
                <w:highlight w:val="none"/>
              </w:rPr>
              <w:t xml:space="preserve">PLMN-RAN-AreaConfigList ::=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(1..maxPLMNIdentities))</w:t>
            </w:r>
            <w:r>
              <w:rPr>
                <w:color w:val="993366"/>
                <w:szCs w:val="16"/>
                <w:highlight w:val="none"/>
              </w:rPr>
              <w:t xml:space="preserve"> OF</w:t>
            </w:r>
            <w:r>
              <w:rPr>
                <w:szCs w:val="16"/>
                <w:highlight w:val="none"/>
              </w:rPr>
              <w:t xml:space="preserve"> PLMN-RAN-AreaConfig</w:t>
            </w:r>
          </w:p>
          <w:p>
            <w:pPr>
              <w:pStyle w:val="68"/>
              <w:spacing w:after="180"/>
              <w:rPr>
                <w:szCs w:val="16"/>
                <w:highlight w:val="none"/>
              </w:rPr>
            </w:pPr>
            <w:r>
              <w:rPr>
                <w:szCs w:val="16"/>
                <w:highlight w:val="none"/>
              </w:rPr>
              <w:t xml:space="preserve">PLMN-RAN-AreaConfig ::=             </w:t>
            </w:r>
            <w:r>
              <w:rPr>
                <w:color w:val="993366"/>
                <w:szCs w:val="16"/>
                <w:highlight w:val="none"/>
              </w:rPr>
              <w:t>SEQUENCE</w:t>
            </w:r>
            <w:r>
              <w:rPr>
                <w:szCs w:val="16"/>
                <w:highlight w:val="none"/>
              </w:rPr>
              <w:t xml:space="preserve"> {</w:t>
            </w:r>
          </w:p>
          <w:p>
            <w:pPr>
              <w:pStyle w:val="68"/>
              <w:spacing w:after="180"/>
              <w:rPr>
                <w:color w:val="808080"/>
                <w:szCs w:val="16"/>
                <w:highlight w:val="none"/>
              </w:rPr>
            </w:pPr>
            <w:r>
              <w:rPr>
                <w:szCs w:val="16"/>
                <w:highlight w:val="none"/>
              </w:rPr>
              <w:t xml:space="preserve">    plmn-Identity                       PLMN-Identity                                                       </w:t>
            </w:r>
            <w:r>
              <w:rPr>
                <w:color w:val="993366"/>
                <w:szCs w:val="16"/>
                <w:highlight w:val="none"/>
              </w:rPr>
              <w:t>OPTIONAL</w:t>
            </w:r>
            <w:r>
              <w:rPr>
                <w:szCs w:val="16"/>
                <w:highlight w:val="none"/>
              </w:rPr>
              <w:t xml:space="preserve">,   </w:t>
            </w:r>
            <w:r>
              <w:rPr>
                <w:color w:val="808080"/>
                <w:szCs w:val="16"/>
                <w:highlight w:val="none"/>
              </w:rPr>
              <w:t>-- Need S</w:t>
            </w:r>
          </w:p>
          <w:p>
            <w:pPr>
              <w:pStyle w:val="68"/>
              <w:spacing w:after="180"/>
              <w:rPr>
                <w:szCs w:val="16"/>
                <w:highlight w:val="none"/>
              </w:rPr>
            </w:pPr>
            <w:r>
              <w:rPr>
                <w:szCs w:val="16"/>
                <w:highlight w:val="none"/>
              </w:rPr>
              <w:t xml:space="preserve">    ran-Area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(1..16))</w:t>
            </w:r>
            <w:r>
              <w:rPr>
                <w:color w:val="993366"/>
                <w:szCs w:val="16"/>
                <w:highlight w:val="none"/>
              </w:rPr>
              <w:t xml:space="preserve"> OF</w:t>
            </w:r>
            <w:r>
              <w:rPr>
                <w:szCs w:val="16"/>
                <w:highlight w:val="none"/>
              </w:rPr>
              <w:t xml:space="preserve">  RAN-AreaConfig</w:t>
            </w:r>
          </w:p>
          <w:p>
            <w:pPr>
              <w:pStyle w:val="68"/>
              <w:spacing w:after="180"/>
              <w:rPr>
                <w:szCs w:val="16"/>
                <w:highlight w:val="none"/>
              </w:rPr>
            </w:pPr>
            <w:r>
              <w:rPr>
                <w:szCs w:val="16"/>
                <w:highlight w:val="none"/>
              </w:rPr>
              <w:t>}</w:t>
            </w:r>
          </w:p>
          <w:p>
            <w:pPr>
              <w:pStyle w:val="68"/>
              <w:spacing w:after="180"/>
              <w:rPr>
                <w:szCs w:val="16"/>
                <w:highlight w:val="none"/>
              </w:rPr>
            </w:pPr>
            <w:r>
              <w:rPr>
                <w:szCs w:val="16"/>
                <w:highlight w:val="none"/>
              </w:rPr>
              <w:t xml:space="preserve">RAN-AreaConfig ::=                  </w:t>
            </w:r>
            <w:r>
              <w:rPr>
                <w:color w:val="993366"/>
                <w:szCs w:val="16"/>
                <w:highlight w:val="none"/>
              </w:rPr>
              <w:t>SEQUENCE</w:t>
            </w:r>
            <w:r>
              <w:rPr>
                <w:szCs w:val="16"/>
                <w:highlight w:val="none"/>
              </w:rPr>
              <w:t xml:space="preserve"> {</w:t>
            </w:r>
          </w:p>
          <w:p>
            <w:pPr>
              <w:pStyle w:val="68"/>
              <w:spacing w:after="180"/>
              <w:rPr>
                <w:szCs w:val="16"/>
                <w:highlight w:val="none"/>
              </w:rPr>
            </w:pPr>
            <w:r>
              <w:rPr>
                <w:szCs w:val="16"/>
                <w:highlight w:val="none"/>
              </w:rPr>
              <w:t xml:space="preserve">    trackingAreaCode                    TrackingAreaCode,</w:t>
            </w:r>
          </w:p>
          <w:p>
            <w:pPr>
              <w:pStyle w:val="68"/>
              <w:spacing w:after="180"/>
              <w:rPr>
                <w:color w:val="808080"/>
                <w:szCs w:val="16"/>
                <w:highlight w:val="none"/>
              </w:rPr>
            </w:pPr>
            <w:r>
              <w:rPr>
                <w:szCs w:val="16"/>
                <w:highlight w:val="none"/>
              </w:rPr>
              <w:t xml:space="preserve">    </w:t>
            </w:r>
            <w:bookmarkStart w:id="5" w:name="OLE_LINK1"/>
            <w:r>
              <w:rPr>
                <w:szCs w:val="16"/>
                <w:highlight w:val="none"/>
              </w:rPr>
              <w:t>ran-AreaCodeList</w:t>
            </w:r>
            <w:bookmarkEnd w:id="5"/>
            <w:r>
              <w:rPr>
                <w:szCs w:val="16"/>
                <w:highlight w:val="none"/>
              </w:rPr>
              <w:t xml:space="preserve">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(1..32))</w:t>
            </w:r>
            <w:r>
              <w:rPr>
                <w:color w:val="993366"/>
                <w:szCs w:val="16"/>
                <w:highlight w:val="none"/>
              </w:rPr>
              <w:t xml:space="preserve"> OF</w:t>
            </w:r>
            <w:r>
              <w:rPr>
                <w:szCs w:val="16"/>
                <w:highlight w:val="none"/>
              </w:rPr>
              <w:t xml:space="preserve">  RAN-AreaCode                            </w:t>
            </w:r>
            <w:r>
              <w:rPr>
                <w:color w:val="993366"/>
                <w:szCs w:val="16"/>
                <w:highlight w:val="none"/>
              </w:rPr>
              <w:t>OPTIONAL</w:t>
            </w:r>
            <w:r>
              <w:rPr>
                <w:szCs w:val="16"/>
                <w:highlight w:val="none"/>
              </w:rPr>
              <w:t xml:space="preserve">    </w:t>
            </w:r>
            <w:r>
              <w:rPr>
                <w:color w:val="808080"/>
                <w:szCs w:val="16"/>
                <w:highlight w:val="none"/>
              </w:rPr>
              <w:t>-- Need R</w:t>
            </w:r>
          </w:p>
          <w:p>
            <w:pPr>
              <w:pStyle w:val="68"/>
              <w:spacing w:after="180"/>
              <w:rPr>
                <w:highlight w:val="none"/>
                <w:lang w:val="en-US" w:eastAsia="zh-CN"/>
              </w:rPr>
            </w:pPr>
            <w:r>
              <w:rPr>
                <w:szCs w:val="16"/>
                <w:highlight w:val="none"/>
              </w:rPr>
              <w:t>}</w:t>
            </w:r>
          </w:p>
        </w:tc>
      </w:tr>
    </w:tbl>
    <w:p>
      <w:pPr>
        <w:jc w:val="both"/>
        <w:rPr>
          <w:rFonts w:eastAsia="宋体"/>
          <w:highlight w:val="none"/>
          <w:lang w:val="en-US" w:eastAsia="zh-CN"/>
        </w:rPr>
      </w:pPr>
    </w:p>
    <w:p>
      <w:pPr>
        <w:jc w:val="both"/>
        <w:rPr>
          <w:rFonts w:eastAsia="宋体"/>
          <w:highlight w:val="none"/>
          <w:lang w:val="en-US" w:eastAsia="zh-CN"/>
        </w:rPr>
      </w:pPr>
      <w:bookmarkStart w:id="6" w:name="OLE_LINK27"/>
      <w:r>
        <w:rPr>
          <w:rFonts w:hint="eastAsia" w:eastAsia="宋体"/>
          <w:highlight w:val="none"/>
          <w:lang w:val="en-US" w:eastAsia="zh-CN"/>
        </w:rPr>
        <w:t xml:space="preserve">Option 1: Cell List </w:t>
      </w:r>
    </w:p>
    <w:p>
      <w:pPr>
        <w:jc w:val="both"/>
        <w:rPr>
          <w:rFonts w:eastAsia="宋体"/>
          <w:highlight w:val="none"/>
          <w:lang w:val="en-US" w:eastAsia="zh-CN"/>
        </w:rPr>
      </w:pPr>
      <w:r>
        <w:rPr>
          <w:rFonts w:hint="eastAsia" w:eastAsia="宋体"/>
          <w:highlight w:val="none"/>
          <w:lang w:val="en-US" w:eastAsia="zh-CN"/>
        </w:rPr>
        <w:t>Option 2: Tracking Area List</w:t>
      </w:r>
    </w:p>
    <w:p>
      <w:pPr>
        <w:jc w:val="both"/>
        <w:rPr>
          <w:rFonts w:eastAsia="宋体"/>
          <w:highlight w:val="none"/>
          <w:lang w:val="en-US" w:eastAsia="zh-CN"/>
        </w:rPr>
      </w:pPr>
      <w:r>
        <w:rPr>
          <w:rFonts w:hint="eastAsia" w:eastAsia="宋体"/>
          <w:highlight w:val="none"/>
          <w:lang w:val="en-US" w:eastAsia="zh-CN"/>
        </w:rPr>
        <w:t>Option 3: Tracking Area List, RAN Area List</w:t>
      </w:r>
    </w:p>
    <w:bookmarkEnd w:id="6"/>
    <w:p>
      <w:pPr>
        <w:jc w:val="both"/>
        <w:rPr>
          <w:rFonts w:eastAsia="宋体"/>
          <w:highlight w:val="none"/>
          <w:lang w:val="en-US" w:eastAsia="zh-CN"/>
        </w:rPr>
      </w:pPr>
      <w:r>
        <w:rPr>
          <w:rFonts w:hint="eastAsia" w:eastAsia="宋体"/>
          <w:highlight w:val="none"/>
          <w:lang w:val="en-US" w:eastAsia="zh-CN"/>
        </w:rPr>
        <w:t>In NTN, if option1 is configured, UEs need to trigger RNA update procedure frequently towards the gNB on board even the UE</w:t>
      </w:r>
      <w:r>
        <w:rPr>
          <w:rFonts w:ascii="Segoe UI" w:hAnsi="Segoe UI" w:cs="Segoe UI"/>
          <w:color w:val="2A2F45"/>
          <w:highlight w:val="none"/>
          <w:shd w:val="clear" w:color="auto" w:fill="FFFFFF"/>
        </w:rPr>
        <w:t xml:space="preserve"> </w:t>
      </w:r>
      <w:r>
        <w:rPr>
          <w:rFonts w:eastAsia="宋体"/>
          <w:highlight w:val="none"/>
          <w:lang w:eastAsia="zh-CN"/>
        </w:rPr>
        <w:t>remains</w:t>
      </w:r>
      <w:r>
        <w:rPr>
          <w:rFonts w:hint="eastAsia" w:eastAsia="宋体"/>
          <w:highlight w:val="none"/>
          <w:lang w:val="en-US" w:eastAsia="zh-CN"/>
        </w:rPr>
        <w:t xml:space="preserve"> stationary. In order to reduce </w:t>
      </w:r>
      <w:r>
        <w:rPr>
          <w:rFonts w:eastAsia="宋体"/>
          <w:highlight w:val="none"/>
          <w:lang w:eastAsia="zh-CN"/>
        </w:rPr>
        <w:t xml:space="preserve">the frequency of RNA updates and reduce </w:t>
      </w:r>
      <w:bookmarkStart w:id="7" w:name="OLE_LINK29"/>
      <w:r>
        <w:rPr>
          <w:rFonts w:eastAsia="宋体"/>
          <w:highlight w:val="none"/>
          <w:lang w:eastAsia="zh-CN"/>
        </w:rPr>
        <w:t>signaling overhead</w:t>
      </w:r>
      <w:bookmarkEnd w:id="7"/>
      <w:r>
        <w:rPr>
          <w:rFonts w:hint="eastAsia" w:eastAsia="宋体"/>
          <w:highlight w:val="none"/>
          <w:lang w:val="en-US" w:eastAsia="zh-CN"/>
        </w:rPr>
        <w:t xml:space="preserve"> between the UEs and the gNB on board, it is better to configure a geo-fixed RNA for regenerative payload NR NTN, i.e. A list of Tracking Area Code.</w:t>
      </w:r>
    </w:p>
    <w:p>
      <w:pPr>
        <w:jc w:val="both"/>
        <w:rPr>
          <w:rFonts w:eastAsia="宋体"/>
          <w:b/>
          <w:bCs/>
          <w:highlight w:val="none"/>
          <w:lang w:val="en-US" w:eastAsia="zh-CN"/>
        </w:rPr>
      </w:pPr>
      <w:r>
        <w:rPr>
          <w:rFonts w:hint="eastAsia" w:eastAsia="宋体"/>
          <w:b/>
          <w:bCs/>
          <w:highlight w:val="none"/>
          <w:lang w:val="en-US" w:eastAsia="zh-CN"/>
        </w:rPr>
        <w:t xml:space="preserve">Observation 1: Geo-fixed RNA configuration can reduce RNA update </w:t>
      </w:r>
      <w:r>
        <w:rPr>
          <w:rFonts w:eastAsia="宋体"/>
          <w:b/>
          <w:bCs/>
          <w:highlight w:val="none"/>
          <w:lang w:val="en-US" w:eastAsia="zh-CN"/>
        </w:rPr>
        <w:t>signaling overhead</w:t>
      </w:r>
      <w:r>
        <w:rPr>
          <w:rFonts w:hint="eastAsia" w:eastAsia="宋体"/>
          <w:b/>
          <w:bCs/>
          <w:highlight w:val="none"/>
          <w:lang w:val="en-US" w:eastAsia="zh-CN"/>
        </w:rPr>
        <w:t xml:space="preserve"> with satellite moving.</w:t>
      </w:r>
    </w:p>
    <w:p>
      <w:pPr>
        <w:jc w:val="both"/>
        <w:rPr>
          <w:rFonts w:eastAsia="宋体"/>
          <w:b/>
          <w:bCs/>
          <w:highlight w:val="none"/>
          <w:lang w:val="en-US" w:eastAsia="zh-CN"/>
        </w:rPr>
      </w:pPr>
      <w:r>
        <w:rPr>
          <w:rFonts w:hint="eastAsia" w:eastAsia="宋体"/>
          <w:b/>
          <w:bCs/>
          <w:highlight w:val="none"/>
          <w:lang w:val="en-US" w:eastAsia="zh-CN"/>
        </w:rPr>
        <w:t xml:space="preserve">Proposal 2: RNA could be configured as a </w:t>
      </w:r>
      <w:r>
        <w:rPr>
          <w:rFonts w:eastAsia="宋体"/>
          <w:b/>
          <w:bCs/>
          <w:color w:val="000000"/>
          <w:sz w:val="19"/>
          <w:szCs w:val="19"/>
          <w:highlight w:val="none"/>
          <w:lang w:val="en-US" w:eastAsia="zh-CN" w:bidi="ar"/>
        </w:rPr>
        <w:t>fixed geographical area</w:t>
      </w:r>
      <w:r>
        <w:rPr>
          <w:rFonts w:hint="eastAsia" w:eastAsia="宋体"/>
          <w:b/>
          <w:bCs/>
          <w:color w:val="000000"/>
          <w:sz w:val="19"/>
          <w:szCs w:val="19"/>
          <w:highlight w:val="none"/>
          <w:lang w:val="en-US" w:eastAsia="zh-CN" w:bidi="ar"/>
        </w:rPr>
        <w:t xml:space="preserve"> (i.e. </w:t>
      </w:r>
      <w:r>
        <w:rPr>
          <w:rFonts w:hint="eastAsia" w:eastAsia="宋体"/>
          <w:b/>
          <w:bCs/>
          <w:highlight w:val="none"/>
          <w:lang w:val="en-US" w:eastAsia="zh-CN"/>
        </w:rPr>
        <w:t xml:space="preserve">A list of </w:t>
      </w:r>
      <w:r>
        <w:rPr>
          <w:rFonts w:hint="eastAsia" w:eastAsia="宋体"/>
          <w:b/>
          <w:bCs/>
          <w:color w:val="000000"/>
          <w:sz w:val="19"/>
          <w:szCs w:val="19"/>
          <w:highlight w:val="none"/>
          <w:lang w:val="en-US" w:eastAsia="zh-CN" w:bidi="ar"/>
        </w:rPr>
        <w:t xml:space="preserve">Tracking Area Code) </w:t>
      </w:r>
      <w:r>
        <w:rPr>
          <w:rFonts w:hint="eastAsia" w:eastAsia="宋体"/>
          <w:b/>
          <w:bCs/>
          <w:highlight w:val="none"/>
          <w:lang w:val="en-US" w:eastAsia="zh-CN"/>
        </w:rPr>
        <w:t xml:space="preserve">in regenerative payload NR NTN. </w:t>
      </w:r>
    </w:p>
    <w:p>
      <w:pPr>
        <w:jc w:val="both"/>
        <w:rPr>
          <w:rFonts w:eastAsia="宋体"/>
          <w:b/>
          <w:bCs/>
          <w:highlight w:val="none"/>
          <w:lang w:val="en-US" w:eastAsia="zh-CN"/>
        </w:rPr>
      </w:pPr>
    </w:p>
    <w:p>
      <w:pPr>
        <w:jc w:val="both"/>
        <w:rPr>
          <w:rFonts w:eastAsia="宋体"/>
          <w:b/>
          <w:bCs/>
          <w:highlight w:val="none"/>
          <w:lang w:val="en-US" w:eastAsia="zh-CN"/>
        </w:rPr>
      </w:pPr>
      <w:bookmarkStart w:id="8" w:name="OLE_LINK2"/>
      <w:r>
        <w:rPr>
          <w:rFonts w:eastAsia="宋体"/>
          <w:b/>
          <w:bCs/>
          <w:highlight w:val="none"/>
          <w:lang w:val="en-US" w:eastAsia="zh-CN"/>
        </w:rPr>
        <w:t>UE context retrieval</w:t>
      </w:r>
    </w:p>
    <w:bookmarkEnd w:id="8"/>
    <w:p>
      <w:pPr>
        <w:jc w:val="both"/>
        <w:rPr>
          <w:rFonts w:eastAsia="宋体"/>
          <w:highlight w:val="none"/>
          <w:lang w:val="en-US" w:eastAsia="zh-CN"/>
        </w:rPr>
      </w:pPr>
      <w:r>
        <w:rPr>
          <w:rFonts w:hint="eastAsia" w:eastAsia="宋体"/>
          <w:highlight w:val="none"/>
          <w:lang w:val="en-US" w:eastAsia="zh-CN"/>
        </w:rPr>
        <w:t xml:space="preserve">The UE context remains in the UE and the last serving gNB when the UE is in the RRC_INACTIVE mode. </w:t>
      </w:r>
      <w:r>
        <w:rPr>
          <w:rFonts w:eastAsia="宋体"/>
          <w:highlight w:val="none"/>
          <w:lang w:eastAsia="zh-CN"/>
        </w:rPr>
        <w:t>Given that it may take several hours for the gNB to reconnect with the UE</w:t>
      </w:r>
      <w:r>
        <w:rPr>
          <w:rFonts w:hint="eastAsia" w:eastAsia="宋体"/>
          <w:highlight w:val="none"/>
          <w:lang w:val="en-US" w:eastAsia="zh-CN"/>
        </w:rPr>
        <w:t xml:space="preserve">, if the UE context cannot be retrieved through the satellite with ISL (Xn interface), then the NW initiates RRC Setup in legacy way. In response to the open issue of UE context retrieval in RRC_INACTIVE, </w:t>
      </w:r>
      <w:r>
        <w:rPr>
          <w:rFonts w:eastAsia="宋体"/>
          <w:highlight w:val="none"/>
          <w:lang w:eastAsia="zh-CN"/>
        </w:rPr>
        <w:t xml:space="preserve">several </w:t>
      </w:r>
      <w:r>
        <w:rPr>
          <w:rFonts w:hint="eastAsia" w:eastAsia="宋体"/>
          <w:highlight w:val="none"/>
          <w:lang w:val="en-US" w:eastAsia="zh-CN"/>
        </w:rPr>
        <w:t xml:space="preserve">companies have proposed </w:t>
      </w:r>
      <w:r>
        <w:rPr>
          <w:rFonts w:eastAsia="宋体"/>
          <w:highlight w:val="none"/>
          <w:lang w:eastAsia="zh-CN"/>
        </w:rPr>
        <w:t xml:space="preserve">multiple </w:t>
      </w:r>
      <w:r>
        <w:rPr>
          <w:rFonts w:hint="eastAsia" w:eastAsia="宋体"/>
          <w:highlight w:val="none"/>
          <w:lang w:val="en-US" w:eastAsia="zh-CN"/>
        </w:rPr>
        <w:t xml:space="preserve">options as </w:t>
      </w:r>
      <w:r>
        <w:rPr>
          <w:rFonts w:eastAsia="宋体"/>
          <w:highlight w:val="none"/>
          <w:lang w:eastAsia="zh-CN"/>
        </w:rPr>
        <w:t>follows</w:t>
      </w:r>
      <w:r>
        <w:rPr>
          <w:rFonts w:hint="eastAsia" w:eastAsia="宋体"/>
          <w:highlight w:val="none"/>
          <w:lang w:val="en-US" w:eastAsia="zh-CN"/>
        </w:rPr>
        <w:t xml:space="preserve">: </w:t>
      </w:r>
    </w:p>
    <w:p>
      <w:pPr>
        <w:jc w:val="both"/>
        <w:rPr>
          <w:rFonts w:eastAsia="宋体"/>
          <w:highlight w:val="none"/>
          <w:lang w:val="en-US"/>
        </w:rPr>
      </w:pPr>
      <w:r>
        <w:rPr>
          <w:rFonts w:hint="eastAsia" w:eastAsia="宋体"/>
          <w:highlight w:val="none"/>
          <w:lang w:val="en-US"/>
        </w:rPr>
        <w:t>Option 1, UE context is forwarded to the next satellites</w:t>
      </w:r>
    </w:p>
    <w:p>
      <w:pPr>
        <w:jc w:val="both"/>
        <w:rPr>
          <w:rFonts w:eastAsia="宋体"/>
          <w:highlight w:val="none"/>
          <w:lang w:val="en-US"/>
        </w:rPr>
      </w:pPr>
      <w:r>
        <w:rPr>
          <w:rFonts w:hint="eastAsia" w:eastAsia="宋体"/>
          <w:highlight w:val="none"/>
          <w:lang w:val="en-US"/>
        </w:rPr>
        <w:t>Option 2, UE context is kept on a fixed node (on-ground gNB or AMF)</w:t>
      </w:r>
    </w:p>
    <w:p>
      <w:pPr>
        <w:jc w:val="both"/>
        <w:rPr>
          <w:rFonts w:eastAsia="宋体"/>
          <w:highlight w:val="none"/>
          <w:lang w:val="en-US"/>
        </w:rPr>
      </w:pPr>
      <w:r>
        <w:rPr>
          <w:rFonts w:hint="eastAsia" w:eastAsia="宋体"/>
          <w:highlight w:val="none"/>
          <w:lang w:val="en-US"/>
        </w:rPr>
        <w:t>Option 3, UE context is kept in the last serving gNB and NG-based UE context retrieve procedure is used</w:t>
      </w:r>
    </w:p>
    <w:p>
      <w:pPr>
        <w:pStyle w:val="2"/>
        <w:jc w:val="both"/>
        <w:rPr>
          <w:rFonts w:eastAsia="宋体"/>
          <w:highlight w:val="none"/>
          <w:lang w:val="en-US" w:eastAsia="zh-CN"/>
        </w:rPr>
      </w:pPr>
      <w:r>
        <w:rPr>
          <w:rFonts w:eastAsia="宋体"/>
          <w:highlight w:val="none"/>
          <w:lang w:eastAsia="zh-CN"/>
        </w:rPr>
        <w:t>The introduction of RRC_INACTIVE offers multiple advantages</w:t>
      </w:r>
      <w:r>
        <w:rPr>
          <w:rFonts w:hint="eastAsia" w:eastAsia="宋体"/>
          <w:highlight w:val="none"/>
          <w:lang w:eastAsia="zh-CN"/>
        </w:rPr>
        <w:t xml:space="preserve"> </w:t>
      </w:r>
      <w:r>
        <w:rPr>
          <w:rFonts w:hint="eastAsia" w:eastAsia="宋体"/>
          <w:highlight w:val="none"/>
          <w:lang w:val="en-US" w:eastAsia="zh-CN"/>
        </w:rPr>
        <w:t>for</w:t>
      </w:r>
      <w:r>
        <w:rPr>
          <w:rFonts w:eastAsia="宋体"/>
          <w:highlight w:val="none"/>
          <w:lang w:val="en-US" w:eastAsia="zh-CN"/>
        </w:rPr>
        <w:t xml:space="preserve"> small </w:t>
      </w:r>
      <w:r>
        <w:rPr>
          <w:rFonts w:hint="eastAsia" w:eastAsia="宋体"/>
          <w:highlight w:val="none"/>
          <w:lang w:val="en-US" w:eastAsia="zh-CN"/>
        </w:rPr>
        <w:t>data</w:t>
      </w:r>
      <w:r>
        <w:rPr>
          <w:rFonts w:eastAsia="宋体"/>
          <w:highlight w:val="none"/>
          <w:lang w:val="en-US" w:eastAsia="zh-CN"/>
        </w:rPr>
        <w:t xml:space="preserve"> </w:t>
      </w:r>
      <w:r>
        <w:rPr>
          <w:rFonts w:eastAsia="宋体"/>
          <w:highlight w:val="none"/>
          <w:lang w:eastAsia="zh-CN"/>
        </w:rPr>
        <w:t>transmissions, including the reduction of signalling overhead and UE power consumption, as well as the improvement of access latency</w:t>
      </w:r>
      <w:r>
        <w:rPr>
          <w:rFonts w:hint="eastAsia" w:eastAsia="宋体"/>
          <w:highlight w:val="none"/>
          <w:lang w:eastAsia="zh-CN"/>
        </w:rPr>
        <w:t xml:space="preserve"> in TN</w:t>
      </w:r>
      <w:r>
        <w:rPr>
          <w:rFonts w:eastAsia="宋体"/>
          <w:highlight w:val="none"/>
          <w:lang w:eastAsia="zh-CN"/>
        </w:rPr>
        <w:t>.</w:t>
      </w:r>
      <w:r>
        <w:rPr>
          <w:rFonts w:hint="eastAsia" w:eastAsia="宋体"/>
          <w:highlight w:val="none"/>
          <w:lang w:val="en-US" w:eastAsia="zh-CN"/>
        </w:rPr>
        <w:t xml:space="preserve"> </w:t>
      </w:r>
      <w:r>
        <w:rPr>
          <w:rFonts w:eastAsia="宋体"/>
          <w:highlight w:val="none"/>
          <w:lang w:val="en-US" w:eastAsia="zh-CN"/>
        </w:rPr>
        <w:t xml:space="preserve">Since the UE context is already saved in UE and NG-RAN, CN is not required to </w:t>
      </w:r>
      <w:r>
        <w:rPr>
          <w:rFonts w:eastAsia="宋体"/>
          <w:highlight w:val="none"/>
          <w:lang w:eastAsia="zh-CN"/>
        </w:rPr>
        <w:t>involve</w:t>
      </w:r>
      <w:r>
        <w:rPr>
          <w:rFonts w:hint="eastAsia" w:eastAsia="宋体"/>
          <w:highlight w:val="none"/>
          <w:lang w:eastAsia="zh-CN"/>
        </w:rPr>
        <w:t xml:space="preserve"> </w:t>
      </w:r>
      <w:r>
        <w:rPr>
          <w:rFonts w:eastAsia="宋体"/>
          <w:highlight w:val="none"/>
          <w:lang w:val="en-US" w:eastAsia="zh-CN"/>
        </w:rPr>
        <w:t xml:space="preserve">when </w:t>
      </w:r>
      <w:r>
        <w:rPr>
          <w:rFonts w:hint="eastAsia" w:eastAsia="宋体"/>
          <w:highlight w:val="none"/>
          <w:lang w:val="en-US" w:eastAsia="zh-CN"/>
        </w:rPr>
        <w:t>UE state</w:t>
      </w:r>
      <w:r>
        <w:rPr>
          <w:rFonts w:eastAsia="宋体"/>
          <w:highlight w:val="none"/>
          <w:lang w:val="en-US" w:eastAsia="zh-CN"/>
        </w:rPr>
        <w:t xml:space="preserve"> switches to RRC</w:t>
      </w:r>
      <w:r>
        <w:rPr>
          <w:rFonts w:hint="eastAsia" w:eastAsia="宋体"/>
          <w:highlight w:val="none"/>
          <w:lang w:val="en-US" w:eastAsia="zh-CN"/>
        </w:rPr>
        <w:t>_CONNECTED mode.</w:t>
      </w:r>
      <w:r>
        <w:rPr>
          <w:rFonts w:eastAsia="宋体"/>
          <w:highlight w:val="none"/>
          <w:lang w:val="en-US" w:eastAsia="zh-CN"/>
        </w:rPr>
        <w:t xml:space="preserve"> </w:t>
      </w:r>
      <w:r>
        <w:rPr>
          <w:rFonts w:hint="eastAsia" w:eastAsia="宋体"/>
          <w:highlight w:val="none"/>
          <w:lang w:val="en-US" w:eastAsia="zh-CN"/>
        </w:rPr>
        <w:t xml:space="preserve">However, option2 and 3 require CN to cooperate with the gNB to retrieve UE context, which </w:t>
      </w:r>
      <w:r>
        <w:rPr>
          <w:rFonts w:eastAsia="宋体"/>
          <w:highlight w:val="none"/>
          <w:lang w:eastAsia="zh-CN"/>
        </w:rPr>
        <w:t>involving</w:t>
      </w:r>
      <w:r>
        <w:rPr>
          <w:rFonts w:hint="eastAsia" w:eastAsia="宋体"/>
          <w:highlight w:val="none"/>
          <w:lang w:val="en-US" w:eastAsia="zh-CN"/>
        </w:rPr>
        <w:t xml:space="preserve"> CN to participate in RRC_INACTIVE resume </w:t>
      </w:r>
      <w:r>
        <w:rPr>
          <w:rFonts w:eastAsia="宋体"/>
          <w:highlight w:val="none"/>
          <w:lang w:eastAsia="zh-CN"/>
        </w:rPr>
        <w:t>process</w:t>
      </w:r>
      <w:r>
        <w:rPr>
          <w:rFonts w:hint="eastAsia" w:eastAsia="宋体"/>
          <w:highlight w:val="none"/>
          <w:lang w:val="en-US" w:eastAsia="zh-CN"/>
        </w:rPr>
        <w:t xml:space="preserve"> and increases signalling overhead. </w:t>
      </w:r>
      <w:r>
        <w:rPr>
          <w:rFonts w:eastAsia="宋体"/>
          <w:highlight w:val="none"/>
          <w:lang w:eastAsia="zh-CN"/>
        </w:rPr>
        <w:t xml:space="preserve">In option 1, </w:t>
      </w:r>
      <w:r>
        <w:rPr>
          <w:rFonts w:hint="eastAsia" w:eastAsia="宋体"/>
          <w:highlight w:val="none"/>
          <w:lang w:eastAsia="zh-CN"/>
        </w:rPr>
        <w:t xml:space="preserve">during </w:t>
      </w:r>
      <w:r>
        <w:rPr>
          <w:rFonts w:eastAsia="宋体"/>
          <w:highlight w:val="none"/>
          <w:lang w:eastAsia="zh-CN"/>
        </w:rPr>
        <w:t>paging the UE to the subsequent satellite</w:t>
      </w:r>
      <w:r>
        <w:rPr>
          <w:rFonts w:hint="eastAsia" w:eastAsia="宋体"/>
          <w:highlight w:val="none"/>
          <w:lang w:val="en-US" w:eastAsia="zh-CN"/>
        </w:rPr>
        <w:t xml:space="preserve">, UE have to wake up when every satellite passing through, which is not conducive to UE power consumption. </w:t>
      </w:r>
      <w:r>
        <w:rPr>
          <w:highlight w:val="none"/>
        </w:rPr>
        <w:t xml:space="preserve">Pro-actively UE context </w:t>
      </w:r>
      <w:r>
        <w:rPr>
          <w:rFonts w:hint="eastAsia" w:eastAsia="宋体"/>
          <w:highlight w:val="none"/>
          <w:lang w:val="en-US" w:eastAsia="zh-CN"/>
        </w:rPr>
        <w:t xml:space="preserve">transfer hop by hop in option1 and </w:t>
      </w:r>
      <w:r>
        <w:rPr>
          <w:highlight w:val="none"/>
          <w:lang w:eastAsia="zh-CN"/>
        </w:rPr>
        <w:t>relocate the UE context to the gNB on ground</w:t>
      </w:r>
      <w:r>
        <w:rPr>
          <w:rFonts w:hint="eastAsia"/>
          <w:highlight w:val="none"/>
          <w:lang w:val="en-US" w:eastAsia="zh-CN"/>
        </w:rPr>
        <w:t xml:space="preserve"> in option2 have minimal impacts on existing procedures, but raises</w:t>
      </w:r>
      <w:r>
        <w:rPr>
          <w:rFonts w:eastAsia="宋体"/>
          <w:highlight w:val="none"/>
          <w:lang w:eastAsia="zh-CN"/>
        </w:rPr>
        <w:t xml:space="preserve"> security concerns</w:t>
      </w:r>
      <w:r>
        <w:rPr>
          <w:highlight w:val="none"/>
          <w:lang w:val="en-US" w:eastAsia="zh-CN"/>
        </w:rPr>
        <w:t xml:space="preserve"> </w:t>
      </w:r>
      <w:r>
        <w:rPr>
          <w:rFonts w:eastAsia="宋体"/>
          <w:highlight w:val="none"/>
          <w:lang w:eastAsia="zh-CN"/>
        </w:rPr>
        <w:t xml:space="preserve">regarding </w:t>
      </w:r>
      <w:r>
        <w:rPr>
          <w:rFonts w:hint="eastAsia"/>
          <w:highlight w:val="none"/>
          <w:lang w:val="en-US" w:eastAsia="zh-CN"/>
        </w:rPr>
        <w:t>UE</w:t>
      </w:r>
      <w:r>
        <w:rPr>
          <w:highlight w:val="none"/>
          <w:lang w:val="en-US" w:eastAsia="zh-CN"/>
        </w:rPr>
        <w:t xml:space="preserve"> context interactions between multiple</w:t>
      </w:r>
      <w:r>
        <w:rPr>
          <w:rFonts w:hint="eastAsia"/>
          <w:highlight w:val="none"/>
          <w:lang w:val="en-US" w:eastAsia="zh-CN"/>
        </w:rPr>
        <w:t xml:space="preserve"> satellites. Such </w:t>
      </w:r>
      <w:r>
        <w:rPr>
          <w:rFonts w:eastAsia="宋体"/>
          <w:highlight w:val="none"/>
          <w:lang w:eastAsia="zh-CN"/>
        </w:rPr>
        <w:t xml:space="preserve">optimizations </w:t>
      </w:r>
      <w:r>
        <w:rPr>
          <w:rFonts w:hint="eastAsia"/>
          <w:highlight w:val="none"/>
          <w:lang w:val="en-US" w:eastAsia="zh-CN"/>
        </w:rPr>
        <w:t xml:space="preserve">may </w:t>
      </w:r>
      <w:r>
        <w:rPr>
          <w:rFonts w:eastAsia="宋体"/>
          <w:highlight w:val="none"/>
          <w:lang w:eastAsia="zh-CN"/>
        </w:rPr>
        <w:t>d</w:t>
      </w:r>
      <w:r>
        <w:rPr>
          <w:rFonts w:hint="eastAsia" w:eastAsia="宋体"/>
          <w:highlight w:val="none"/>
          <w:lang w:val="en-US" w:eastAsia="zh-CN"/>
        </w:rPr>
        <w:t>iverge</w:t>
      </w:r>
      <w:r>
        <w:rPr>
          <w:rFonts w:eastAsia="宋体"/>
          <w:highlight w:val="none"/>
          <w:lang w:eastAsia="zh-CN"/>
        </w:rPr>
        <w:t xml:space="preserve"> from the </w:t>
      </w:r>
      <w:r>
        <w:rPr>
          <w:rFonts w:hint="eastAsia" w:eastAsia="宋体"/>
          <w:highlight w:val="none"/>
          <w:lang w:val="en-US" w:eastAsia="zh-CN"/>
        </w:rPr>
        <w:t xml:space="preserve">original </w:t>
      </w:r>
      <w:r>
        <w:rPr>
          <w:rFonts w:eastAsia="宋体"/>
          <w:highlight w:val="none"/>
          <w:lang w:eastAsia="zh-CN"/>
        </w:rPr>
        <w:t>objectives of introducing RRC_INACTIVE mode. Therefore</w:t>
      </w:r>
      <w:r>
        <w:rPr>
          <w:rFonts w:hint="eastAsia" w:eastAsia="宋体"/>
          <w:highlight w:val="none"/>
          <w:lang w:val="en-US" w:eastAsia="zh-CN"/>
        </w:rPr>
        <w:t>, we think the further enhancements for supporting RRC_INACTIVE mode is not clear and there seems to be limited benefits for regenerative payload NR NTN.</w:t>
      </w:r>
    </w:p>
    <w:p>
      <w:pPr>
        <w:rPr>
          <w:rFonts w:eastAsia="宋体"/>
          <w:b/>
          <w:bCs/>
          <w:highlight w:val="none"/>
          <w:lang w:val="en-US" w:eastAsia="zh-CN"/>
        </w:rPr>
      </w:pPr>
      <w:r>
        <w:rPr>
          <w:rFonts w:hint="eastAsia" w:eastAsia="宋体"/>
          <w:b/>
          <w:bCs/>
          <w:highlight w:val="none"/>
          <w:lang w:val="en-US" w:eastAsia="zh-CN"/>
        </w:rPr>
        <w:t>Proposal 3: A</w:t>
      </w:r>
      <w:r>
        <w:rPr>
          <w:rFonts w:eastAsia="宋体"/>
          <w:b/>
          <w:bCs/>
          <w:highlight w:val="none"/>
          <w:lang w:val="en-US" w:eastAsia="zh-CN"/>
        </w:rPr>
        <w:t>n</w:t>
      </w:r>
      <w:r>
        <w:rPr>
          <w:rFonts w:hint="eastAsia" w:eastAsia="宋体"/>
          <w:b/>
          <w:bCs/>
          <w:highlight w:val="none"/>
          <w:lang w:val="en-US" w:eastAsia="zh-CN"/>
        </w:rPr>
        <w:t xml:space="preserve">y enhancements for RRC_INACTIVE in regenerative NR NTN in R19 should be </w:t>
      </w:r>
      <w:r>
        <w:rPr>
          <w:rFonts w:eastAsia="宋体"/>
          <w:b/>
          <w:bCs/>
          <w:highlight w:val="none"/>
          <w:lang w:val="en-US" w:eastAsia="zh-CN"/>
        </w:rPr>
        <w:t xml:space="preserve">thoroughly </w:t>
      </w:r>
      <w:r>
        <w:rPr>
          <w:rFonts w:eastAsia="宋体"/>
          <w:b/>
          <w:bCs/>
          <w:highlight w:val="none"/>
          <w:lang w:eastAsia="zh-CN"/>
        </w:rPr>
        <w:t>analyzed</w:t>
      </w:r>
      <w:r>
        <w:rPr>
          <w:rFonts w:eastAsia="宋体"/>
          <w:b/>
          <w:bCs/>
          <w:highlight w:val="none"/>
          <w:lang w:val="en-US" w:eastAsia="zh-CN"/>
        </w:rPr>
        <w:t xml:space="preserve"> for their benefits and costs</w:t>
      </w:r>
      <w:r>
        <w:rPr>
          <w:rFonts w:hint="eastAsia" w:eastAsia="宋体"/>
          <w:b/>
          <w:bCs/>
          <w:highlight w:val="none"/>
          <w:lang w:val="en-US" w:eastAsia="zh-CN"/>
        </w:rPr>
        <w:t>.</w:t>
      </w:r>
    </w:p>
    <w:p>
      <w:pPr>
        <w:pStyle w:val="3"/>
        <w:rPr>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ab/>
      </w:r>
      <w:r>
        <w:rPr>
          <w:rFonts w:hint="eastAsia"/>
          <w:color w:val="000000" w:themeColor="text1"/>
          <w:highlight w:val="none"/>
          <w:lang w:val="en-US" w:eastAsia="zh-CN"/>
          <w14:textFill>
            <w14:solidFill>
              <w14:schemeClr w14:val="tx1"/>
            </w14:solidFill>
          </w14:textFill>
        </w:rPr>
        <w:t>Conclusion</w:t>
      </w:r>
    </w:p>
    <w:p>
      <w:pPr>
        <w:tabs>
          <w:tab w:val="left" w:pos="1985"/>
        </w:tabs>
        <w:jc w:val="both"/>
        <w:rPr>
          <w:rFonts w:eastAsia="宋体"/>
          <w:color w:val="000000" w:themeColor="text1"/>
          <w:szCs w:val="22"/>
          <w:highlight w:val="none"/>
          <w:lang w:val="en-US" w:eastAsia="zh-CN" w:bidi="ar"/>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 xml:space="preserve">In this </w:t>
      </w:r>
      <w:r>
        <w:rPr>
          <w:rFonts w:eastAsia="宋体"/>
          <w:color w:val="000000" w:themeColor="text1"/>
          <w:highlight w:val="none"/>
          <w:lang w:eastAsia="zh-CN"/>
          <w14:textFill>
            <w14:solidFill>
              <w14:schemeClr w14:val="tx1"/>
            </w14:solidFill>
          </w14:textFill>
        </w:rPr>
        <w:t>contribution</w:t>
      </w:r>
      <w:r>
        <w:rPr>
          <w:rFonts w:hint="eastAsia" w:eastAsia="宋体"/>
          <w:color w:val="000000" w:themeColor="text1"/>
          <w:highlight w:val="none"/>
          <w:lang w:eastAsia="zh-CN"/>
          <w14:textFill>
            <w14:solidFill>
              <w14:schemeClr w14:val="tx1"/>
            </w14:solidFill>
          </w14:textFill>
        </w:rPr>
        <w:t>, we</w:t>
      </w:r>
      <w:r>
        <w:rPr>
          <w:rFonts w:eastAsia="宋体"/>
          <w:color w:val="000000" w:themeColor="text1"/>
          <w:highlight w:val="none"/>
          <w:lang w:eastAsia="zh-CN"/>
          <w14:textFill>
            <w14:solidFill>
              <w14:schemeClr w14:val="tx1"/>
            </w14:solidFill>
          </w14:textFill>
        </w:rPr>
        <w:t xml:space="preserve"> </w:t>
      </w:r>
      <w:r>
        <w:rPr>
          <w:rFonts w:hint="eastAsia" w:eastAsia="宋体"/>
          <w:color w:val="000000" w:themeColor="text1"/>
          <w:highlight w:val="none"/>
          <w:lang w:eastAsia="zh-CN"/>
          <w14:textFill>
            <w14:solidFill>
              <w14:schemeClr w14:val="tx1"/>
            </w14:solidFill>
          </w14:textFill>
        </w:rPr>
        <w:t>provide</w:t>
      </w:r>
      <w:r>
        <w:rPr>
          <w:rFonts w:eastAsia="宋体"/>
          <w:color w:val="000000" w:themeColor="text1"/>
          <w:highlight w:val="none"/>
          <w:lang w:eastAsia="zh-CN"/>
          <w14:textFill>
            <w14:solidFill>
              <w14:schemeClr w14:val="tx1"/>
            </w14:solidFill>
          </w14:textFill>
        </w:rPr>
        <w:t xml:space="preserve"> </w:t>
      </w:r>
      <w:r>
        <w:rPr>
          <w:rFonts w:hint="eastAsia" w:eastAsia="宋体"/>
          <w:color w:val="000000" w:themeColor="text1"/>
          <w:highlight w:val="none"/>
          <w:lang w:eastAsia="zh-CN"/>
          <w14:textFill>
            <w14:solidFill>
              <w14:schemeClr w14:val="tx1"/>
            </w14:solidFill>
          </w14:textFill>
        </w:rPr>
        <w:t>c</w:t>
      </w:r>
      <w:r>
        <w:rPr>
          <w:rFonts w:eastAsia="宋体"/>
          <w:color w:val="000000" w:themeColor="text1"/>
          <w:highlight w:val="none"/>
          <w:lang w:eastAsia="zh-CN"/>
          <w14:textFill>
            <w14:solidFill>
              <w14:schemeClr w14:val="tx1"/>
            </w14:solidFill>
          </w14:textFill>
        </w:rPr>
        <w:t xml:space="preserve">onsiderations on the </w:t>
      </w:r>
      <w:r>
        <w:rPr>
          <w:rFonts w:hint="eastAsia" w:eastAsia="宋体"/>
          <w:color w:val="000000" w:themeColor="text1"/>
          <w:highlight w:val="none"/>
          <w:lang w:eastAsia="zh-CN"/>
          <w14:textFill>
            <w14:solidFill>
              <w14:schemeClr w14:val="tx1"/>
            </w14:solidFill>
          </w14:textFill>
        </w:rPr>
        <w:t>NTN regenerative payload in RAN3,</w:t>
      </w:r>
      <w:r>
        <w:rPr>
          <w:rFonts w:eastAsia="宋体"/>
          <w:color w:val="000000" w:themeColor="text1"/>
          <w:highlight w:val="none"/>
          <w:lang w:eastAsia="zh-CN"/>
          <w14:textFill>
            <w14:solidFill>
              <w14:schemeClr w14:val="tx1"/>
            </w14:solidFill>
          </w14:textFill>
        </w:rPr>
        <w:t xml:space="preserve"> f</w:t>
      </w:r>
      <w:r>
        <w:rPr>
          <w:color w:val="000000" w:themeColor="text1"/>
          <w:szCs w:val="22"/>
          <w:highlight w:val="none"/>
          <w:lang w:bidi="ar"/>
          <w14:textFill>
            <w14:solidFill>
              <w14:schemeClr w14:val="tx1"/>
            </w14:solidFill>
          </w14:textFill>
        </w:rPr>
        <w:t xml:space="preserve">ollowing </w:t>
      </w:r>
      <w:r>
        <w:rPr>
          <w:rFonts w:hint="eastAsia"/>
          <w:color w:val="000000" w:themeColor="text1"/>
          <w:szCs w:val="22"/>
          <w:highlight w:val="none"/>
          <w:lang w:eastAsia="zh-CN" w:bidi="ar"/>
          <w14:textFill>
            <w14:solidFill>
              <w14:schemeClr w14:val="tx1"/>
            </w14:solidFill>
          </w14:textFill>
        </w:rPr>
        <w:t>ob</w:t>
      </w:r>
      <w:r>
        <w:rPr>
          <w:color w:val="000000" w:themeColor="text1"/>
          <w:szCs w:val="22"/>
          <w:highlight w:val="none"/>
          <w:lang w:eastAsia="zh-CN" w:bidi="ar"/>
          <w14:textFill>
            <w14:solidFill>
              <w14:schemeClr w14:val="tx1"/>
            </w14:solidFill>
          </w14:textFill>
        </w:rPr>
        <w:t xml:space="preserve">servations and </w:t>
      </w:r>
      <w:r>
        <w:rPr>
          <w:color w:val="000000" w:themeColor="text1"/>
          <w:szCs w:val="22"/>
          <w:highlight w:val="none"/>
          <w:lang w:bidi="ar"/>
          <w14:textFill>
            <w14:solidFill>
              <w14:schemeClr w14:val="tx1"/>
            </w14:solidFill>
          </w14:textFill>
        </w:rPr>
        <w:t>proposals are made:</w:t>
      </w:r>
      <w:r>
        <w:rPr>
          <w:rFonts w:hint="eastAsia" w:eastAsia="宋体"/>
          <w:color w:val="000000" w:themeColor="text1"/>
          <w:szCs w:val="22"/>
          <w:highlight w:val="none"/>
          <w:lang w:val="en-US" w:eastAsia="zh-CN" w:bidi="ar"/>
          <w14:textFill>
            <w14:solidFill>
              <w14:schemeClr w14:val="tx1"/>
            </w14:solidFill>
          </w14:textFill>
        </w:rPr>
        <w:t xml:space="preserve"> </w:t>
      </w:r>
    </w:p>
    <w:p>
      <w:pPr>
        <w:jc w:val="both"/>
        <w:rPr>
          <w:rFonts w:eastAsia="宋体"/>
          <w:b/>
          <w:bCs/>
          <w:highlight w:val="none"/>
          <w:lang w:val="en-US" w:eastAsia="zh-CN"/>
        </w:rPr>
      </w:pPr>
      <w:r>
        <w:rPr>
          <w:rFonts w:hint="eastAsia" w:eastAsia="宋体"/>
          <w:b/>
          <w:bCs/>
          <w:highlight w:val="none"/>
          <w:lang w:val="en-US" w:eastAsia="zh-CN"/>
        </w:rPr>
        <w:t xml:space="preserve">Proposal 1: RAN3 to discuss on the enhancement of transferring UE coarse location information between XnAP. </w:t>
      </w:r>
    </w:p>
    <w:p>
      <w:pPr>
        <w:jc w:val="both"/>
        <w:rPr>
          <w:rFonts w:eastAsia="宋体"/>
          <w:b/>
          <w:bCs/>
          <w:highlight w:val="none"/>
          <w:lang w:val="en-US" w:eastAsia="zh-CN"/>
        </w:rPr>
      </w:pPr>
      <w:r>
        <w:rPr>
          <w:rFonts w:hint="eastAsia" w:eastAsia="宋体"/>
          <w:b/>
          <w:bCs/>
          <w:highlight w:val="none"/>
          <w:lang w:val="en-US" w:eastAsia="zh-CN"/>
        </w:rPr>
        <w:t xml:space="preserve">Observation 1: Geo-fixed RNA configuration can reduce RNA update </w:t>
      </w:r>
      <w:r>
        <w:rPr>
          <w:rFonts w:eastAsia="宋体"/>
          <w:b/>
          <w:bCs/>
          <w:highlight w:val="none"/>
          <w:lang w:val="en-US" w:eastAsia="zh-CN"/>
        </w:rPr>
        <w:t>signaling overhead</w:t>
      </w:r>
      <w:r>
        <w:rPr>
          <w:rFonts w:hint="eastAsia" w:eastAsia="宋体"/>
          <w:b/>
          <w:bCs/>
          <w:highlight w:val="none"/>
          <w:lang w:val="en-US" w:eastAsia="zh-CN"/>
        </w:rPr>
        <w:t xml:space="preserve"> with satellite moving.</w:t>
      </w:r>
    </w:p>
    <w:p>
      <w:pPr>
        <w:jc w:val="both"/>
        <w:rPr>
          <w:rFonts w:eastAsia="宋体"/>
          <w:b/>
          <w:bCs/>
          <w:highlight w:val="none"/>
          <w:lang w:val="en-US" w:eastAsia="zh-CN"/>
        </w:rPr>
      </w:pPr>
      <w:r>
        <w:rPr>
          <w:rFonts w:hint="eastAsia" w:eastAsia="宋体"/>
          <w:b/>
          <w:bCs/>
          <w:highlight w:val="none"/>
          <w:lang w:val="en-US" w:eastAsia="zh-CN"/>
        </w:rPr>
        <w:t xml:space="preserve">Proposal 2: RNA could be configured as a </w:t>
      </w:r>
      <w:r>
        <w:rPr>
          <w:rFonts w:eastAsia="宋体"/>
          <w:b/>
          <w:bCs/>
          <w:color w:val="000000"/>
          <w:sz w:val="19"/>
          <w:szCs w:val="19"/>
          <w:highlight w:val="none"/>
          <w:lang w:val="en-US" w:eastAsia="zh-CN" w:bidi="ar"/>
        </w:rPr>
        <w:t>fixed geographical area</w:t>
      </w:r>
      <w:r>
        <w:rPr>
          <w:rFonts w:hint="eastAsia" w:eastAsia="宋体"/>
          <w:b/>
          <w:bCs/>
          <w:color w:val="000000"/>
          <w:sz w:val="19"/>
          <w:szCs w:val="19"/>
          <w:highlight w:val="none"/>
          <w:lang w:val="en-US" w:eastAsia="zh-CN" w:bidi="ar"/>
        </w:rPr>
        <w:t xml:space="preserve"> (i.e. </w:t>
      </w:r>
      <w:r>
        <w:rPr>
          <w:rFonts w:hint="eastAsia" w:eastAsia="宋体"/>
          <w:b/>
          <w:bCs/>
          <w:highlight w:val="none"/>
          <w:lang w:val="en-US" w:eastAsia="zh-CN"/>
        </w:rPr>
        <w:t xml:space="preserve">A list of </w:t>
      </w:r>
      <w:r>
        <w:rPr>
          <w:rFonts w:hint="eastAsia" w:eastAsia="宋体"/>
          <w:b/>
          <w:bCs/>
          <w:color w:val="000000"/>
          <w:sz w:val="19"/>
          <w:szCs w:val="19"/>
          <w:highlight w:val="none"/>
          <w:lang w:val="en-US" w:eastAsia="zh-CN" w:bidi="ar"/>
        </w:rPr>
        <w:t xml:space="preserve">Tracking Area Code) </w:t>
      </w:r>
      <w:r>
        <w:rPr>
          <w:rFonts w:hint="eastAsia" w:eastAsia="宋体"/>
          <w:b/>
          <w:bCs/>
          <w:highlight w:val="none"/>
          <w:lang w:val="en-US" w:eastAsia="zh-CN"/>
        </w:rPr>
        <w:t xml:space="preserve">in regenerative payload NR NTN. </w:t>
      </w:r>
    </w:p>
    <w:p>
      <w:pPr>
        <w:rPr>
          <w:rFonts w:eastAsia="宋体"/>
          <w:b/>
          <w:bCs/>
          <w:highlight w:val="none"/>
          <w:lang w:val="en-US" w:eastAsia="zh-CN"/>
        </w:rPr>
      </w:pPr>
      <w:r>
        <w:rPr>
          <w:rFonts w:hint="eastAsia" w:eastAsia="宋体"/>
          <w:b/>
          <w:bCs/>
          <w:highlight w:val="none"/>
          <w:lang w:val="en-US" w:eastAsia="zh-CN"/>
        </w:rPr>
        <w:t>Proposal 3: A</w:t>
      </w:r>
      <w:r>
        <w:rPr>
          <w:rFonts w:eastAsia="宋体"/>
          <w:b/>
          <w:bCs/>
          <w:highlight w:val="none"/>
          <w:lang w:val="en-US" w:eastAsia="zh-CN"/>
        </w:rPr>
        <w:t>n</w:t>
      </w:r>
      <w:r>
        <w:rPr>
          <w:rFonts w:hint="eastAsia" w:eastAsia="宋体"/>
          <w:b/>
          <w:bCs/>
          <w:highlight w:val="none"/>
          <w:lang w:val="en-US" w:eastAsia="zh-CN"/>
        </w:rPr>
        <w:t xml:space="preserve">y enhancements for RRC_INACTIVE in regenerative NR NTN in R19 should be </w:t>
      </w:r>
      <w:r>
        <w:rPr>
          <w:rFonts w:eastAsia="宋体"/>
          <w:b/>
          <w:bCs/>
          <w:highlight w:val="none"/>
          <w:lang w:val="en-US" w:eastAsia="zh-CN"/>
        </w:rPr>
        <w:t xml:space="preserve">thoroughly </w:t>
      </w:r>
      <w:r>
        <w:rPr>
          <w:rFonts w:eastAsia="宋体"/>
          <w:b/>
          <w:bCs/>
          <w:highlight w:val="none"/>
          <w:lang w:eastAsia="zh-CN"/>
        </w:rPr>
        <w:t>analyzed</w:t>
      </w:r>
      <w:r>
        <w:rPr>
          <w:rFonts w:eastAsia="宋体"/>
          <w:b/>
          <w:bCs/>
          <w:highlight w:val="none"/>
          <w:lang w:val="en-US" w:eastAsia="zh-CN"/>
        </w:rPr>
        <w:t xml:space="preserve"> for their benefits and costs</w:t>
      </w:r>
      <w:r>
        <w:rPr>
          <w:rFonts w:hint="eastAsia" w:eastAsia="宋体"/>
          <w:b/>
          <w:bCs/>
          <w:highlight w:val="none"/>
          <w:lang w:val="en-US" w:eastAsia="zh-CN"/>
        </w:rPr>
        <w:t>.</w:t>
      </w:r>
    </w:p>
    <w:p>
      <w:pPr>
        <w:rPr>
          <w:rFonts w:eastAsia="宋体"/>
          <w:color w:val="000000" w:themeColor="text1"/>
          <w:highlight w:val="none"/>
          <w:lang w:val="en-US" w:eastAsia="zh-CN"/>
          <w14:textFill>
            <w14:solidFill>
              <w14:schemeClr w14:val="tx1"/>
            </w14:solidFill>
          </w14:textFill>
        </w:rPr>
      </w:pPr>
    </w:p>
    <w:p>
      <w:pPr>
        <w:pStyle w:val="3"/>
        <w:rPr>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ab/>
      </w:r>
      <w:r>
        <w:rPr>
          <w:rFonts w:hint="eastAsia"/>
          <w:color w:val="000000" w:themeColor="text1"/>
          <w:highlight w:val="none"/>
          <w:lang w:val="en-US" w:eastAsia="zh-CN"/>
          <w14:textFill>
            <w14:solidFill>
              <w14:schemeClr w14:val="tx1"/>
            </w14:solidFill>
          </w14:textFill>
        </w:rPr>
        <w:t>Reference</w:t>
      </w:r>
    </w:p>
    <w:p>
      <w:pPr>
        <w:pStyle w:val="2"/>
        <w:numPr>
          <w:ilvl w:val="0"/>
          <w:numId w:val="1"/>
        </w:numPr>
        <w:overflowPunct/>
        <w:autoSpaceDE/>
        <w:spacing w:before="120" w:beforeLines="50"/>
        <w:jc w:val="both"/>
        <w:textAlignment w:val="auto"/>
        <w:rPr>
          <w:rFonts w:eastAsiaTheme="minorEastAsia"/>
          <w:color w:val="000000" w:themeColor="text1"/>
          <w:szCs w:val="24"/>
          <w:highlight w:val="none"/>
          <w:lang w:val="en-US" w:eastAsia="zh-CN"/>
          <w14:textFill>
            <w14:solidFill>
              <w14:schemeClr w14:val="tx1"/>
            </w14:solidFill>
          </w14:textFill>
        </w:rPr>
      </w:pPr>
      <w:r>
        <w:rPr>
          <w:rFonts w:hint="eastAsia" w:eastAsiaTheme="minorEastAsia"/>
          <w:color w:val="000000" w:themeColor="text1"/>
          <w:szCs w:val="24"/>
          <w:highlight w:val="none"/>
          <w:lang w:val="en-US" w:eastAsia="zh-CN"/>
          <w14:textFill>
            <w14:solidFill>
              <w14:schemeClr w14:val="tx1"/>
            </w14:solidFill>
          </w14:textFill>
        </w:rPr>
        <w:t>RP-250041 Status report for WID: Non-Terrestrial Networks (NTN) for NR Phase 3</w:t>
      </w:r>
    </w:p>
    <w:p>
      <w:pPr>
        <w:pStyle w:val="2"/>
        <w:numPr>
          <w:ilvl w:val="-1"/>
          <w:numId w:val="0"/>
        </w:numPr>
        <w:overflowPunct/>
        <w:autoSpaceDE/>
        <w:spacing w:before="120" w:beforeLines="50"/>
        <w:ind w:left="0" w:firstLine="0"/>
        <w:jc w:val="both"/>
        <w:textAlignment w:val="auto"/>
        <w:rPr>
          <w:rFonts w:eastAsiaTheme="minorEastAsia"/>
          <w:color w:val="000000" w:themeColor="text1"/>
          <w:szCs w:val="24"/>
          <w:highlight w:val="none"/>
          <w:lang w:val="en-US" w:eastAsia="zh-CN"/>
          <w14:textFill>
            <w14:solidFill>
              <w14:schemeClr w14:val="tx1"/>
            </w14:solidFill>
          </w14:textFill>
        </w:rPr>
      </w:pPr>
      <w:bookmarkStart w:id="9" w:name="_GoBack"/>
      <w:bookmarkEnd w:id="9"/>
    </w:p>
    <w:p>
      <w:pPr>
        <w:pStyle w:val="2"/>
        <w:overflowPunct/>
        <w:autoSpaceDE/>
        <w:spacing w:before="120" w:beforeLines="50"/>
        <w:jc w:val="both"/>
        <w:textAlignment w:val="auto"/>
        <w:rPr>
          <w:rFonts w:eastAsia="宋体"/>
          <w:color w:val="000000" w:themeColor="text1"/>
          <w:highlight w:val="none"/>
          <w:lang w:val="en-US" w:eastAsia="zh-CN"/>
          <w14:textFill>
            <w14:solidFill>
              <w14:schemeClr w14:val="tx1"/>
            </w14:solidFill>
          </w14:textFill>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WExZDAyNmVmNzhjMmIzOGU2YjllYjc2NDA5NGIifQ=="/>
    <w:docVar w:name="KSO_WPS_MARK_KEY" w:val="51576cf1-7b60-4465-b12f-df5a5bbfe411"/>
  </w:docVars>
  <w:rsids>
    <w:rsidRoot w:val="00022E4A"/>
    <w:rsid w:val="00000DF0"/>
    <w:rsid w:val="00001E8F"/>
    <w:rsid w:val="00014226"/>
    <w:rsid w:val="00020D4D"/>
    <w:rsid w:val="00022E4A"/>
    <w:rsid w:val="00024C18"/>
    <w:rsid w:val="00042D96"/>
    <w:rsid w:val="000472E8"/>
    <w:rsid w:val="00051FFB"/>
    <w:rsid w:val="00061D0F"/>
    <w:rsid w:val="00067DCD"/>
    <w:rsid w:val="00085545"/>
    <w:rsid w:val="00094F0A"/>
    <w:rsid w:val="000A4CEE"/>
    <w:rsid w:val="000A6394"/>
    <w:rsid w:val="000C038A"/>
    <w:rsid w:val="000C6598"/>
    <w:rsid w:val="000D6382"/>
    <w:rsid w:val="000F17A3"/>
    <w:rsid w:val="000F23FA"/>
    <w:rsid w:val="000F4E5F"/>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14977"/>
    <w:rsid w:val="002218D6"/>
    <w:rsid w:val="0026004D"/>
    <w:rsid w:val="00262C39"/>
    <w:rsid w:val="002636A7"/>
    <w:rsid w:val="00274611"/>
    <w:rsid w:val="0027588B"/>
    <w:rsid w:val="00275D12"/>
    <w:rsid w:val="002769EB"/>
    <w:rsid w:val="002860C4"/>
    <w:rsid w:val="002A37C8"/>
    <w:rsid w:val="002A47EF"/>
    <w:rsid w:val="002B23F9"/>
    <w:rsid w:val="002B24C6"/>
    <w:rsid w:val="002B2B82"/>
    <w:rsid w:val="002B5741"/>
    <w:rsid w:val="002B5B7A"/>
    <w:rsid w:val="002C238A"/>
    <w:rsid w:val="002E595A"/>
    <w:rsid w:val="00305409"/>
    <w:rsid w:val="003411CF"/>
    <w:rsid w:val="0035319E"/>
    <w:rsid w:val="00353346"/>
    <w:rsid w:val="00376EE0"/>
    <w:rsid w:val="00385089"/>
    <w:rsid w:val="00392B19"/>
    <w:rsid w:val="00396631"/>
    <w:rsid w:val="003A4E1D"/>
    <w:rsid w:val="003A5266"/>
    <w:rsid w:val="003B597F"/>
    <w:rsid w:val="003B7609"/>
    <w:rsid w:val="003C12C0"/>
    <w:rsid w:val="003D15E8"/>
    <w:rsid w:val="003E1A36"/>
    <w:rsid w:val="003F54CE"/>
    <w:rsid w:val="00400898"/>
    <w:rsid w:val="0040623E"/>
    <w:rsid w:val="004165D0"/>
    <w:rsid w:val="004242F1"/>
    <w:rsid w:val="00447131"/>
    <w:rsid w:val="00452F38"/>
    <w:rsid w:val="00467657"/>
    <w:rsid w:val="00477480"/>
    <w:rsid w:val="00477891"/>
    <w:rsid w:val="004839DB"/>
    <w:rsid w:val="004865D4"/>
    <w:rsid w:val="004A1950"/>
    <w:rsid w:val="004A20E3"/>
    <w:rsid w:val="004A7918"/>
    <w:rsid w:val="004B75B7"/>
    <w:rsid w:val="004E629B"/>
    <w:rsid w:val="004F242B"/>
    <w:rsid w:val="00501900"/>
    <w:rsid w:val="005124D6"/>
    <w:rsid w:val="0051580D"/>
    <w:rsid w:val="00520062"/>
    <w:rsid w:val="00540E46"/>
    <w:rsid w:val="00564BDC"/>
    <w:rsid w:val="00592D74"/>
    <w:rsid w:val="00592FB9"/>
    <w:rsid w:val="005B373C"/>
    <w:rsid w:val="005C381C"/>
    <w:rsid w:val="005C4D70"/>
    <w:rsid w:val="005E2C44"/>
    <w:rsid w:val="005E3D2A"/>
    <w:rsid w:val="005E4D8A"/>
    <w:rsid w:val="005F2108"/>
    <w:rsid w:val="005F436C"/>
    <w:rsid w:val="0060567A"/>
    <w:rsid w:val="00621188"/>
    <w:rsid w:val="006212BD"/>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4DDB"/>
    <w:rsid w:val="006E74F4"/>
    <w:rsid w:val="0071052A"/>
    <w:rsid w:val="00711130"/>
    <w:rsid w:val="007342B2"/>
    <w:rsid w:val="00742578"/>
    <w:rsid w:val="00765952"/>
    <w:rsid w:val="00773339"/>
    <w:rsid w:val="00775CD6"/>
    <w:rsid w:val="007767A3"/>
    <w:rsid w:val="00786414"/>
    <w:rsid w:val="00792342"/>
    <w:rsid w:val="00795237"/>
    <w:rsid w:val="007A34F3"/>
    <w:rsid w:val="007A6F2E"/>
    <w:rsid w:val="007B512A"/>
    <w:rsid w:val="007B572B"/>
    <w:rsid w:val="007C2097"/>
    <w:rsid w:val="007C2145"/>
    <w:rsid w:val="007D6A07"/>
    <w:rsid w:val="007E4113"/>
    <w:rsid w:val="007E5FC8"/>
    <w:rsid w:val="007F3AEE"/>
    <w:rsid w:val="00805D95"/>
    <w:rsid w:val="008227DB"/>
    <w:rsid w:val="008279FA"/>
    <w:rsid w:val="00845D17"/>
    <w:rsid w:val="008579E4"/>
    <w:rsid w:val="008626E7"/>
    <w:rsid w:val="00870EE7"/>
    <w:rsid w:val="00874EF0"/>
    <w:rsid w:val="008A04D9"/>
    <w:rsid w:val="008B1F20"/>
    <w:rsid w:val="008C4751"/>
    <w:rsid w:val="008E227C"/>
    <w:rsid w:val="008F686C"/>
    <w:rsid w:val="009017EE"/>
    <w:rsid w:val="00913222"/>
    <w:rsid w:val="00916443"/>
    <w:rsid w:val="00917C9F"/>
    <w:rsid w:val="00936638"/>
    <w:rsid w:val="0094366F"/>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C107E"/>
    <w:rsid w:val="00AD1CD8"/>
    <w:rsid w:val="00AE5A38"/>
    <w:rsid w:val="00AE6E2C"/>
    <w:rsid w:val="00AF43A8"/>
    <w:rsid w:val="00B0502B"/>
    <w:rsid w:val="00B07219"/>
    <w:rsid w:val="00B11214"/>
    <w:rsid w:val="00B24807"/>
    <w:rsid w:val="00B258BB"/>
    <w:rsid w:val="00B437CA"/>
    <w:rsid w:val="00B50379"/>
    <w:rsid w:val="00B560B5"/>
    <w:rsid w:val="00B67B97"/>
    <w:rsid w:val="00B70BDD"/>
    <w:rsid w:val="00B76C75"/>
    <w:rsid w:val="00B968C8"/>
    <w:rsid w:val="00BA3EC5"/>
    <w:rsid w:val="00BA48A4"/>
    <w:rsid w:val="00BB5DFC"/>
    <w:rsid w:val="00BD279D"/>
    <w:rsid w:val="00BD6BB8"/>
    <w:rsid w:val="00BE3B42"/>
    <w:rsid w:val="00C03926"/>
    <w:rsid w:val="00C12DBC"/>
    <w:rsid w:val="00C22909"/>
    <w:rsid w:val="00C25E82"/>
    <w:rsid w:val="00C31B69"/>
    <w:rsid w:val="00C5481B"/>
    <w:rsid w:val="00C573F0"/>
    <w:rsid w:val="00C713DF"/>
    <w:rsid w:val="00C74ED2"/>
    <w:rsid w:val="00C81A93"/>
    <w:rsid w:val="00C95985"/>
    <w:rsid w:val="00C95B80"/>
    <w:rsid w:val="00CA6304"/>
    <w:rsid w:val="00CB512D"/>
    <w:rsid w:val="00CC5026"/>
    <w:rsid w:val="00CC588B"/>
    <w:rsid w:val="00CE5C0E"/>
    <w:rsid w:val="00D03F9A"/>
    <w:rsid w:val="00D104E0"/>
    <w:rsid w:val="00D157AF"/>
    <w:rsid w:val="00D202FA"/>
    <w:rsid w:val="00D35F6F"/>
    <w:rsid w:val="00D36BD1"/>
    <w:rsid w:val="00D450F2"/>
    <w:rsid w:val="00D608C3"/>
    <w:rsid w:val="00D63018"/>
    <w:rsid w:val="00D95B9C"/>
    <w:rsid w:val="00D96016"/>
    <w:rsid w:val="00DB66FE"/>
    <w:rsid w:val="00DD5724"/>
    <w:rsid w:val="00DE34CF"/>
    <w:rsid w:val="00DE6E1D"/>
    <w:rsid w:val="00E02866"/>
    <w:rsid w:val="00E06EA5"/>
    <w:rsid w:val="00E15BA1"/>
    <w:rsid w:val="00E27E18"/>
    <w:rsid w:val="00E309B3"/>
    <w:rsid w:val="00E5291F"/>
    <w:rsid w:val="00E64117"/>
    <w:rsid w:val="00E70B10"/>
    <w:rsid w:val="00E9743C"/>
    <w:rsid w:val="00EA32CF"/>
    <w:rsid w:val="00EB2397"/>
    <w:rsid w:val="00EB3F46"/>
    <w:rsid w:val="00EE0733"/>
    <w:rsid w:val="00EE7D7C"/>
    <w:rsid w:val="00EF376B"/>
    <w:rsid w:val="00EF3A19"/>
    <w:rsid w:val="00F034E9"/>
    <w:rsid w:val="00F03AED"/>
    <w:rsid w:val="00F03C76"/>
    <w:rsid w:val="00F10B0F"/>
    <w:rsid w:val="00F11694"/>
    <w:rsid w:val="00F12A8D"/>
    <w:rsid w:val="00F2517E"/>
    <w:rsid w:val="00F25D98"/>
    <w:rsid w:val="00F300FB"/>
    <w:rsid w:val="00F3190B"/>
    <w:rsid w:val="00F61596"/>
    <w:rsid w:val="00F75006"/>
    <w:rsid w:val="00F76023"/>
    <w:rsid w:val="00F77D84"/>
    <w:rsid w:val="00F9031B"/>
    <w:rsid w:val="00FA55A0"/>
    <w:rsid w:val="00FB6386"/>
    <w:rsid w:val="00FB7DE3"/>
    <w:rsid w:val="00FC010C"/>
    <w:rsid w:val="00FE006E"/>
    <w:rsid w:val="00FE57B3"/>
    <w:rsid w:val="01517DDE"/>
    <w:rsid w:val="015D4CEE"/>
    <w:rsid w:val="01D4630B"/>
    <w:rsid w:val="01DC75C3"/>
    <w:rsid w:val="0228744C"/>
    <w:rsid w:val="02CF15CC"/>
    <w:rsid w:val="037F73A5"/>
    <w:rsid w:val="03D2345A"/>
    <w:rsid w:val="041F054D"/>
    <w:rsid w:val="043F0416"/>
    <w:rsid w:val="0495080F"/>
    <w:rsid w:val="04DB2B06"/>
    <w:rsid w:val="050F1C69"/>
    <w:rsid w:val="0534135E"/>
    <w:rsid w:val="05770699"/>
    <w:rsid w:val="05780196"/>
    <w:rsid w:val="05CA442B"/>
    <w:rsid w:val="067032E2"/>
    <w:rsid w:val="06DA41FD"/>
    <w:rsid w:val="06FA578B"/>
    <w:rsid w:val="07616056"/>
    <w:rsid w:val="08074D9A"/>
    <w:rsid w:val="09FC30DE"/>
    <w:rsid w:val="0B052A6D"/>
    <w:rsid w:val="0B611D68"/>
    <w:rsid w:val="0C217501"/>
    <w:rsid w:val="0C5940A5"/>
    <w:rsid w:val="0D0F4328"/>
    <w:rsid w:val="0D364053"/>
    <w:rsid w:val="0E890F3F"/>
    <w:rsid w:val="0F3F2AD0"/>
    <w:rsid w:val="117B6FDE"/>
    <w:rsid w:val="11EE5A02"/>
    <w:rsid w:val="12D34280"/>
    <w:rsid w:val="13B36C86"/>
    <w:rsid w:val="13C466A2"/>
    <w:rsid w:val="13CE5AEB"/>
    <w:rsid w:val="13E95D33"/>
    <w:rsid w:val="145768F4"/>
    <w:rsid w:val="1558469F"/>
    <w:rsid w:val="15C86A4E"/>
    <w:rsid w:val="16111CBF"/>
    <w:rsid w:val="16362111"/>
    <w:rsid w:val="164711E6"/>
    <w:rsid w:val="16922E00"/>
    <w:rsid w:val="16D80131"/>
    <w:rsid w:val="17A24087"/>
    <w:rsid w:val="17C4348D"/>
    <w:rsid w:val="17C52D61"/>
    <w:rsid w:val="17D54A64"/>
    <w:rsid w:val="18150370"/>
    <w:rsid w:val="186E5A1D"/>
    <w:rsid w:val="189708A1"/>
    <w:rsid w:val="18A625FE"/>
    <w:rsid w:val="19083736"/>
    <w:rsid w:val="1944163F"/>
    <w:rsid w:val="19A215AC"/>
    <w:rsid w:val="19DB146C"/>
    <w:rsid w:val="1A1A0AEE"/>
    <w:rsid w:val="1A291707"/>
    <w:rsid w:val="1AD71B92"/>
    <w:rsid w:val="1AFB2DC6"/>
    <w:rsid w:val="1BC752FA"/>
    <w:rsid w:val="1C281B11"/>
    <w:rsid w:val="1CE7092D"/>
    <w:rsid w:val="1D6036E7"/>
    <w:rsid w:val="1D8E210B"/>
    <w:rsid w:val="1E116D00"/>
    <w:rsid w:val="1EE7703D"/>
    <w:rsid w:val="1F486752"/>
    <w:rsid w:val="1F5C044F"/>
    <w:rsid w:val="1FAE143F"/>
    <w:rsid w:val="1FCE3BC0"/>
    <w:rsid w:val="1FF764A9"/>
    <w:rsid w:val="2014477C"/>
    <w:rsid w:val="207C36B5"/>
    <w:rsid w:val="208C46D1"/>
    <w:rsid w:val="20F76B2D"/>
    <w:rsid w:val="21787096"/>
    <w:rsid w:val="21894E00"/>
    <w:rsid w:val="21950529"/>
    <w:rsid w:val="22172E33"/>
    <w:rsid w:val="22715359"/>
    <w:rsid w:val="229D5D68"/>
    <w:rsid w:val="231423B6"/>
    <w:rsid w:val="23FE7D27"/>
    <w:rsid w:val="24482D9E"/>
    <w:rsid w:val="244F36E1"/>
    <w:rsid w:val="251315B0"/>
    <w:rsid w:val="2519245D"/>
    <w:rsid w:val="251A293E"/>
    <w:rsid w:val="25BC23D3"/>
    <w:rsid w:val="26A12529"/>
    <w:rsid w:val="26B57A9E"/>
    <w:rsid w:val="26D01CBA"/>
    <w:rsid w:val="2753282F"/>
    <w:rsid w:val="28026FB4"/>
    <w:rsid w:val="28EF3092"/>
    <w:rsid w:val="292C2C40"/>
    <w:rsid w:val="2A47297F"/>
    <w:rsid w:val="2A9F174D"/>
    <w:rsid w:val="2AA16804"/>
    <w:rsid w:val="2ABA1CFC"/>
    <w:rsid w:val="2AF53506"/>
    <w:rsid w:val="2B44041D"/>
    <w:rsid w:val="2BA829F1"/>
    <w:rsid w:val="2C3A60E1"/>
    <w:rsid w:val="2C641513"/>
    <w:rsid w:val="2D786400"/>
    <w:rsid w:val="2DC02711"/>
    <w:rsid w:val="2E3B530B"/>
    <w:rsid w:val="2F113FD4"/>
    <w:rsid w:val="2F1C6E0B"/>
    <w:rsid w:val="30011E23"/>
    <w:rsid w:val="30E56DF4"/>
    <w:rsid w:val="30FA1A84"/>
    <w:rsid w:val="31064EE4"/>
    <w:rsid w:val="317D28C6"/>
    <w:rsid w:val="31932A25"/>
    <w:rsid w:val="32E70D49"/>
    <w:rsid w:val="32F10A57"/>
    <w:rsid w:val="33620094"/>
    <w:rsid w:val="33835316"/>
    <w:rsid w:val="33CD1918"/>
    <w:rsid w:val="342C693C"/>
    <w:rsid w:val="345A4781"/>
    <w:rsid w:val="34DB7C7A"/>
    <w:rsid w:val="351A24E7"/>
    <w:rsid w:val="35653A86"/>
    <w:rsid w:val="3566486A"/>
    <w:rsid w:val="35EF30F0"/>
    <w:rsid w:val="362F6356"/>
    <w:rsid w:val="36547834"/>
    <w:rsid w:val="36EB7735"/>
    <w:rsid w:val="37046E68"/>
    <w:rsid w:val="37081110"/>
    <w:rsid w:val="377E6574"/>
    <w:rsid w:val="378B0F42"/>
    <w:rsid w:val="37F52D97"/>
    <w:rsid w:val="380C2D0A"/>
    <w:rsid w:val="38393CBE"/>
    <w:rsid w:val="387C6CD3"/>
    <w:rsid w:val="38A21056"/>
    <w:rsid w:val="38A9698C"/>
    <w:rsid w:val="38D10DCB"/>
    <w:rsid w:val="38D71842"/>
    <w:rsid w:val="38FD19CE"/>
    <w:rsid w:val="39736669"/>
    <w:rsid w:val="39F6139B"/>
    <w:rsid w:val="3A2D79AE"/>
    <w:rsid w:val="3AAD1D50"/>
    <w:rsid w:val="3B293099"/>
    <w:rsid w:val="3B8742F4"/>
    <w:rsid w:val="3BDB1AA7"/>
    <w:rsid w:val="3C46224C"/>
    <w:rsid w:val="3C5E4984"/>
    <w:rsid w:val="3CDB07AE"/>
    <w:rsid w:val="3D206534"/>
    <w:rsid w:val="3D54132B"/>
    <w:rsid w:val="3DC24058"/>
    <w:rsid w:val="3DE9744D"/>
    <w:rsid w:val="3E420140"/>
    <w:rsid w:val="3E4B54BF"/>
    <w:rsid w:val="3E896A2D"/>
    <w:rsid w:val="3EC562C7"/>
    <w:rsid w:val="40037AD4"/>
    <w:rsid w:val="40553AE3"/>
    <w:rsid w:val="40827192"/>
    <w:rsid w:val="40BA5A13"/>
    <w:rsid w:val="40C34650"/>
    <w:rsid w:val="414B76BB"/>
    <w:rsid w:val="4172478F"/>
    <w:rsid w:val="41A726E4"/>
    <w:rsid w:val="41C00D65"/>
    <w:rsid w:val="42075BA1"/>
    <w:rsid w:val="42315B2D"/>
    <w:rsid w:val="427B0BA8"/>
    <w:rsid w:val="43F96884"/>
    <w:rsid w:val="44754B55"/>
    <w:rsid w:val="44B126FA"/>
    <w:rsid w:val="45173EDF"/>
    <w:rsid w:val="456C2F8F"/>
    <w:rsid w:val="45C92913"/>
    <w:rsid w:val="45F12386"/>
    <w:rsid w:val="46753688"/>
    <w:rsid w:val="46BF1952"/>
    <w:rsid w:val="46F47C6E"/>
    <w:rsid w:val="476C6AF4"/>
    <w:rsid w:val="47A30A27"/>
    <w:rsid w:val="47E76A5A"/>
    <w:rsid w:val="486C076C"/>
    <w:rsid w:val="486D5166"/>
    <w:rsid w:val="48F03B3D"/>
    <w:rsid w:val="494871CB"/>
    <w:rsid w:val="499B4147"/>
    <w:rsid w:val="49ED0B32"/>
    <w:rsid w:val="4A35670D"/>
    <w:rsid w:val="4A4F5C7D"/>
    <w:rsid w:val="4A805944"/>
    <w:rsid w:val="4AC46D25"/>
    <w:rsid w:val="4ADF4532"/>
    <w:rsid w:val="4B465683"/>
    <w:rsid w:val="4B605D8F"/>
    <w:rsid w:val="4BBE2104"/>
    <w:rsid w:val="4C0D7D89"/>
    <w:rsid w:val="4C3F773F"/>
    <w:rsid w:val="4C6205A3"/>
    <w:rsid w:val="4CC13D05"/>
    <w:rsid w:val="4D5A664B"/>
    <w:rsid w:val="4D973BFE"/>
    <w:rsid w:val="4E3F00F4"/>
    <w:rsid w:val="4E4842F0"/>
    <w:rsid w:val="4E73075E"/>
    <w:rsid w:val="4EDE0742"/>
    <w:rsid w:val="4F0D20DB"/>
    <w:rsid w:val="4F263438"/>
    <w:rsid w:val="4F38383D"/>
    <w:rsid w:val="5023629C"/>
    <w:rsid w:val="512E1281"/>
    <w:rsid w:val="51C9678A"/>
    <w:rsid w:val="51CB2747"/>
    <w:rsid w:val="51CD23CF"/>
    <w:rsid w:val="51CE42C9"/>
    <w:rsid w:val="527840FD"/>
    <w:rsid w:val="527E65F3"/>
    <w:rsid w:val="52CC0D71"/>
    <w:rsid w:val="52CD6993"/>
    <w:rsid w:val="52E94DC1"/>
    <w:rsid w:val="53216B9B"/>
    <w:rsid w:val="53371AC1"/>
    <w:rsid w:val="53543BA7"/>
    <w:rsid w:val="547C0049"/>
    <w:rsid w:val="547E56B5"/>
    <w:rsid w:val="55085FAD"/>
    <w:rsid w:val="556A7B3A"/>
    <w:rsid w:val="557D032F"/>
    <w:rsid w:val="55C23E61"/>
    <w:rsid w:val="55DD41EC"/>
    <w:rsid w:val="56586573"/>
    <w:rsid w:val="56834509"/>
    <w:rsid w:val="56C24C6C"/>
    <w:rsid w:val="577939AE"/>
    <w:rsid w:val="58705EA3"/>
    <w:rsid w:val="58B77A7F"/>
    <w:rsid w:val="596777BA"/>
    <w:rsid w:val="5AA21BE6"/>
    <w:rsid w:val="5ADA22DE"/>
    <w:rsid w:val="5B675DD8"/>
    <w:rsid w:val="5B800A46"/>
    <w:rsid w:val="5BE43621"/>
    <w:rsid w:val="5C2233A1"/>
    <w:rsid w:val="5C382969"/>
    <w:rsid w:val="5C3D0A83"/>
    <w:rsid w:val="5C4216AF"/>
    <w:rsid w:val="5C794296"/>
    <w:rsid w:val="5CCC5BEA"/>
    <w:rsid w:val="5D5B0CFE"/>
    <w:rsid w:val="5DC82D0B"/>
    <w:rsid w:val="5DD10F5F"/>
    <w:rsid w:val="5E4C6E75"/>
    <w:rsid w:val="5EFB3529"/>
    <w:rsid w:val="5F04018D"/>
    <w:rsid w:val="5F27742B"/>
    <w:rsid w:val="5F6F06AC"/>
    <w:rsid w:val="5FA554A4"/>
    <w:rsid w:val="5FD41B98"/>
    <w:rsid w:val="5FD4310E"/>
    <w:rsid w:val="60096842"/>
    <w:rsid w:val="607E24C6"/>
    <w:rsid w:val="60A95B9E"/>
    <w:rsid w:val="612E71F2"/>
    <w:rsid w:val="61C176C2"/>
    <w:rsid w:val="61DD1DDB"/>
    <w:rsid w:val="61DD4763"/>
    <w:rsid w:val="61DF7396"/>
    <w:rsid w:val="621D68F8"/>
    <w:rsid w:val="62511F1A"/>
    <w:rsid w:val="62FB483E"/>
    <w:rsid w:val="63013083"/>
    <w:rsid w:val="630D0798"/>
    <w:rsid w:val="632A1297"/>
    <w:rsid w:val="649C3DEF"/>
    <w:rsid w:val="65041839"/>
    <w:rsid w:val="65B90E6A"/>
    <w:rsid w:val="65CC4888"/>
    <w:rsid w:val="65ED3E7A"/>
    <w:rsid w:val="65F53417"/>
    <w:rsid w:val="66441679"/>
    <w:rsid w:val="664D0864"/>
    <w:rsid w:val="66F351C0"/>
    <w:rsid w:val="673E1F7E"/>
    <w:rsid w:val="675257FE"/>
    <w:rsid w:val="67B0668D"/>
    <w:rsid w:val="680C2A0E"/>
    <w:rsid w:val="68CA66F6"/>
    <w:rsid w:val="6ABF487A"/>
    <w:rsid w:val="6ACA13F6"/>
    <w:rsid w:val="6B027979"/>
    <w:rsid w:val="6B0C440A"/>
    <w:rsid w:val="6B245452"/>
    <w:rsid w:val="6B892AD1"/>
    <w:rsid w:val="6C7D06FD"/>
    <w:rsid w:val="6C9B4169"/>
    <w:rsid w:val="6CB63A73"/>
    <w:rsid w:val="6D30174F"/>
    <w:rsid w:val="6D8048D6"/>
    <w:rsid w:val="6D95667F"/>
    <w:rsid w:val="6DE93FE9"/>
    <w:rsid w:val="6E11491E"/>
    <w:rsid w:val="6E177FF7"/>
    <w:rsid w:val="6E2A523C"/>
    <w:rsid w:val="6E6331FD"/>
    <w:rsid w:val="6EA918F3"/>
    <w:rsid w:val="6FB03245"/>
    <w:rsid w:val="700A6BAC"/>
    <w:rsid w:val="70256A72"/>
    <w:rsid w:val="706511CA"/>
    <w:rsid w:val="708144E2"/>
    <w:rsid w:val="70D03BFD"/>
    <w:rsid w:val="710F044A"/>
    <w:rsid w:val="71827E7B"/>
    <w:rsid w:val="71B0505E"/>
    <w:rsid w:val="71D12046"/>
    <w:rsid w:val="71F663CC"/>
    <w:rsid w:val="727662A7"/>
    <w:rsid w:val="72A62A0B"/>
    <w:rsid w:val="73880040"/>
    <w:rsid w:val="73D05531"/>
    <w:rsid w:val="74446D94"/>
    <w:rsid w:val="7454729D"/>
    <w:rsid w:val="74946F26"/>
    <w:rsid w:val="76531233"/>
    <w:rsid w:val="77415E60"/>
    <w:rsid w:val="77A6318B"/>
    <w:rsid w:val="77BC2705"/>
    <w:rsid w:val="77D84E94"/>
    <w:rsid w:val="788A6F53"/>
    <w:rsid w:val="78B222A0"/>
    <w:rsid w:val="78CC603A"/>
    <w:rsid w:val="7974364A"/>
    <w:rsid w:val="79E70B25"/>
    <w:rsid w:val="7A283282"/>
    <w:rsid w:val="7B184C43"/>
    <w:rsid w:val="7C281E5A"/>
    <w:rsid w:val="7D2A14CD"/>
    <w:rsid w:val="7DB96EB4"/>
    <w:rsid w:val="7DC3365B"/>
    <w:rsid w:val="7F5C36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95"/>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basedOn w:val="1"/>
    <w:link w:val="88"/>
    <w:qFormat/>
    <w:uiPriority w:val="0"/>
    <w:pPr>
      <w:widowControl w:val="0"/>
    </w:pPr>
    <w:rPr>
      <w:rFonts w:ascii="Arial" w:hAnsi="Arial"/>
      <w:b/>
      <w:sz w:val="18"/>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5"/>
    <w:qFormat/>
    <w:uiPriority w:val="0"/>
    <w:pPr>
      <w:keepNext w:val="0"/>
      <w:spacing w:before="0" w:after="240"/>
    </w:p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NO"/>
    <w:basedOn w:val="1"/>
    <w:link w:val="99"/>
    <w:qFormat/>
    <w:uiPriority w:val="0"/>
    <w:pPr>
      <w:keepLines/>
      <w:ind w:left="1135" w:hanging="851"/>
    </w:p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3"/>
    <w:qFormat/>
    <w:uiPriority w:val="0"/>
    <w:rPr>
      <w:color w:val="FF0000"/>
    </w:rPr>
  </w:style>
  <w:style w:type="paragraph" w:customStyle="1" w:styleId="79">
    <w:name w:val="B1"/>
    <w:basedOn w:val="15"/>
    <w:link w:val="102"/>
    <w:qFormat/>
    <w:uiPriority w:val="0"/>
  </w:style>
  <w:style w:type="paragraph" w:customStyle="1" w:styleId="80">
    <w:name w:val="B2"/>
    <w:basedOn w:val="14"/>
    <w:link w:val="106"/>
    <w:qFormat/>
    <w:uiPriority w:val="0"/>
  </w:style>
  <w:style w:type="paragraph" w:customStyle="1" w:styleId="81">
    <w:name w:val="B3"/>
    <w:basedOn w:val="13"/>
    <w:link w:val="107"/>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批注框文本 字符"/>
    <w:link w:val="33"/>
    <w:qFormat/>
    <w:uiPriority w:val="0"/>
    <w:rPr>
      <w:rFonts w:ascii="Tahoma" w:hAnsi="Tahoma" w:cs="Tahoma"/>
      <w:sz w:val="16"/>
      <w:szCs w:val="16"/>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0"/>
    <w:qFormat/>
    <w:uiPriority w:val="0"/>
    <w:rPr>
      <w:rFonts w:ascii="Times New Roman" w:hAnsi="Times New Roman"/>
      <w:lang w:val="en-GB"/>
    </w:rPr>
  </w:style>
  <w:style w:type="character" w:customStyle="1" w:styleId="100">
    <w:name w:val="PL Char"/>
    <w:link w:val="68"/>
    <w:qFormat/>
    <w:uiPriority w:val="0"/>
    <w:rPr>
      <w:rFonts w:ascii="Courier New" w:hAnsi="Courier New"/>
      <w:sz w:val="16"/>
      <w:lang w:val="en-GB"/>
    </w:rPr>
  </w:style>
  <w:style w:type="character" w:customStyle="1" w:styleId="101">
    <w:name w:val="EX Char"/>
    <w:link w:val="61"/>
    <w:qFormat/>
    <w:locked/>
    <w:uiPriority w:val="0"/>
    <w:rPr>
      <w:rFonts w:ascii="Times New Roman" w:hAnsi="Times New Roman"/>
      <w:lang w:val="en-GB"/>
    </w:rPr>
  </w:style>
  <w:style w:type="character" w:customStyle="1" w:styleId="102">
    <w:name w:val="B1 Char"/>
    <w:link w:val="79"/>
    <w:qFormat/>
    <w:uiPriority w:val="0"/>
    <w:rPr>
      <w:rFonts w:ascii="Times New Roman" w:hAnsi="Times New Roman"/>
      <w:lang w:val="en-GB"/>
    </w:rPr>
  </w:style>
  <w:style w:type="character" w:customStyle="1" w:styleId="103">
    <w:name w:val="Editor's Note Char"/>
    <w:link w:val="78"/>
    <w:qFormat/>
    <w:uiPriority w:val="0"/>
    <w:rPr>
      <w:rFonts w:ascii="Times New Roman" w:hAnsi="Times New Roman"/>
      <w:color w:val="FF0000"/>
      <w:lang w:val="en-GB"/>
    </w:rPr>
  </w:style>
  <w:style w:type="character" w:customStyle="1" w:styleId="104">
    <w:name w:val="TH Char"/>
    <w:link w:val="59"/>
    <w:qFormat/>
    <w:uiPriority w:val="0"/>
    <w:rPr>
      <w:rFonts w:ascii="Arial" w:hAnsi="Arial"/>
      <w:b/>
      <w:lang w:val="en-GB"/>
    </w:rPr>
  </w:style>
  <w:style w:type="character" w:customStyle="1" w:styleId="105">
    <w:name w:val="TF Char"/>
    <w:link w:val="58"/>
    <w:qFormat/>
    <w:uiPriority w:val="0"/>
    <w:rPr>
      <w:rFonts w:ascii="Arial" w:hAnsi="Arial"/>
      <w:b/>
      <w:lang w:val="en-GB"/>
    </w:rPr>
  </w:style>
  <w:style w:type="character" w:customStyle="1" w:styleId="106">
    <w:name w:val="B2 Char"/>
    <w:link w:val="80"/>
    <w:qFormat/>
    <w:uiPriority w:val="0"/>
    <w:rPr>
      <w:rFonts w:ascii="Times New Roman" w:hAnsi="Times New Roman"/>
      <w:lang w:val="en-GB"/>
    </w:rPr>
  </w:style>
  <w:style w:type="character" w:customStyle="1" w:styleId="107">
    <w:name w:val="B3 Char"/>
    <w:link w:val="81"/>
    <w:qFormat/>
    <w:uiPriority w:val="0"/>
    <w:rPr>
      <w:rFonts w:ascii="Times New Roman" w:hAnsi="Times New Roman"/>
      <w:lang w:val="en-GB"/>
    </w:rPr>
  </w:style>
  <w:style w:type="paragraph" w:customStyle="1" w:styleId="108">
    <w:name w:val="TAJ"/>
    <w:basedOn w:val="59"/>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0"/>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styleId="119">
    <w:name w:val="List Paragraph"/>
    <w:basedOn w:val="1"/>
    <w:qFormat/>
    <w:uiPriority w:val="34"/>
    <w:pPr>
      <w:ind w:left="720"/>
      <w:contextualSpacing/>
    </w:pPr>
  </w:style>
  <w:style w:type="paragraph" w:customStyle="1" w:styleId="120">
    <w:name w:val="3GPP_Header"/>
    <w:basedOn w:val="2"/>
    <w:qFormat/>
    <w:locked/>
    <w:uiPriority w:val="0"/>
    <w:pPr>
      <w:tabs>
        <w:tab w:val="left" w:pos="1701"/>
        <w:tab w:val="right" w:pos="9639"/>
      </w:tabs>
      <w:spacing w:after="240" w:line="256" w:lineRule="auto"/>
      <w:jc w:val="both"/>
    </w:pPr>
    <w:rPr>
      <w:rFonts w:ascii="Arial" w:hAnsi="Arial" w:eastAsia="Calibri" w:cs="Arial"/>
      <w:b/>
      <w:sz w:val="24"/>
      <w:lang w:val="en-US" w:eastAsia="zh-CN"/>
    </w:rPr>
  </w:style>
  <w:style w:type="paragraph" w:customStyle="1" w:styleId="121">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1212</Words>
  <Characters>6633</Characters>
  <Lines>88</Lines>
  <Paragraphs>25</Paragraphs>
  <TotalTime>17</TotalTime>
  <ScaleCrop>false</ScaleCrop>
  <LinksUpToDate>false</LinksUpToDate>
  <CharactersWithSpaces>8212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tengrui</cp:lastModifiedBy>
  <cp:lastPrinted>2411-12-31T15:59:00Z</cp:lastPrinted>
  <dcterms:modified xsi:type="dcterms:W3CDTF">2025-03-28T06:23:43Z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2052-11.1.0.12165</vt:lpwstr>
  </property>
  <property fmtid="{D5CDD505-2E9C-101B-9397-08002B2CF9AE}" pid="4" name="ICV">
    <vt:lpwstr>43EDA61C758A4D16B6FC11708601B87B</vt:lpwstr>
  </property>
</Properties>
</file>